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i w:val="0"/>
          <w:color w:val="0C8F86"/>
          <w:sz w:val="22"/>
        </w:rPr>
        <w:t>TRAINIT</w:t>
      </w:r>
    </w:p>
    <w:p>
      <w:pPr>
        <w:spacing w:before="0" w:after="140"/>
      </w:pPr>
      <w:r>
        <w:rPr>
          <w:rFonts w:ascii="Calibri" w:hAnsi="Calibri"/>
          <w:b/>
          <w:i w:val="0"/>
          <w:color w:val="102238"/>
          <w:sz w:val="48"/>
        </w:rPr>
        <w:t>Solution Architecture and Experience Design</w:t>
      </w:r>
    </w:p>
    <w:p>
      <w:pPr>
        <w:spacing w:after="360"/>
      </w:pPr>
      <w:r>
        <w:rPr>
          <w:rFonts w:ascii="Calibri" w:hAnsi="Calibri"/>
          <w:b w:val="0"/>
          <w:i w:val="0"/>
          <w:color w:val="657386"/>
          <w:sz w:val="26"/>
        </w:rPr>
        <w:t>Master-framework reconstruction and integration with the existing Trainit public design</w:t>
      </w:r>
    </w:p>
    <w:tbl>
      <w:tblPr>
        <w:tblW w:type="dxa" w:w="9360"/>
        <w:jc w:val="left"/>
        <w:tblLayout w:type="fixed"/>
        <w:tblLook w:firstColumn="1" w:firstRow="1" w:lastColumn="0" w:lastRow="0" w:noHBand="0" w:noVBand="1" w:val="04A0"/>
        <w:tblInd w:w="120" w:type="dxa"/>
      </w:tblPr>
      <w:tblGrid>
        <w:gridCol w:w="2050"/>
        <w:gridCol w:w="7310"/>
      </w:tblGrid>
      <w:tr>
        <w:trPr>
          <w:tblHeader w:val="true"/>
        </w:trPr>
        <w:tc>
          <w:tcPr>
            <w:tcW w:type="dxa" w:w="2050"/>
            <w:tcMar>
              <w:top w:w="80" w:type="dxa"/>
              <w:start w:w="120" w:type="dxa"/>
              <w:bottom w:w="80" w:type="dxa"/>
              <w:end w:w="120" w:type="dxa"/>
            </w:tcMar>
            <w:vAlign w:val="center"/>
            <w:shd w:fill="E8EEF5"/>
          </w:tcPr>
          <w:p>
            <w:pPr>
              <w:spacing w:after="0"/>
            </w:pPr>
            <w:r>
              <w:rPr>
                <w:rFonts w:ascii="Calibri" w:hAnsi="Calibri"/>
                <w:b/>
                <w:i w:val="0"/>
                <w:color w:val="102238"/>
                <w:sz w:val="19"/>
              </w:rPr>
              <w:t>Document</w:t>
            </w:r>
          </w:p>
        </w:tc>
        <w:tc>
          <w:tcPr>
            <w:tcW w:type="dxa" w:w="7310"/>
            <w:tcMar>
              <w:top w:w="80" w:type="dxa"/>
              <w:start w:w="120" w:type="dxa"/>
              <w:bottom w:w="80" w:type="dxa"/>
              <w:end w:w="120" w:type="dxa"/>
            </w:tcMar>
            <w:vAlign w:val="center"/>
          </w:tcPr>
          <w:p>
            <w:pPr>
              <w:spacing w:after="0"/>
            </w:pPr>
            <w:r>
              <w:rPr>
                <w:rFonts w:ascii="Calibri" w:hAnsi="Calibri"/>
                <w:b w:val="0"/>
                <w:i w:val="0"/>
                <w:color w:val="102238"/>
                <w:sz w:val="19"/>
              </w:rPr>
              <w:t>TRN-ARC-001</w:t>
            </w:r>
          </w:p>
        </w:tc>
      </w:tr>
      <w:tr>
        <w:tc>
          <w:tcPr>
            <w:tcW w:type="dxa" w:w="2050"/>
            <w:tcMar>
              <w:top w:w="80" w:type="dxa"/>
              <w:start w:w="120" w:type="dxa"/>
              <w:bottom w:w="80" w:type="dxa"/>
              <w:end w:w="120" w:type="dxa"/>
            </w:tcMar>
            <w:vAlign w:val="center"/>
            <w:shd w:fill="E8EEF5"/>
          </w:tcPr>
          <w:p>
            <w:pPr>
              <w:spacing w:after="0"/>
            </w:pPr>
            <w:r>
              <w:rPr>
                <w:rFonts w:ascii="Calibri" w:hAnsi="Calibri"/>
                <w:b/>
                <w:i w:val="0"/>
                <w:color w:val="102238"/>
                <w:sz w:val="19"/>
              </w:rPr>
              <w:t>Version</w:t>
            </w:r>
          </w:p>
        </w:tc>
        <w:tc>
          <w:tcPr>
            <w:tcW w:type="dxa" w:w="7310"/>
            <w:tcMar>
              <w:top w:w="80" w:type="dxa"/>
              <w:start w:w="120" w:type="dxa"/>
              <w:bottom w:w="80" w:type="dxa"/>
              <w:end w:w="120" w:type="dxa"/>
            </w:tcMar>
            <w:vAlign w:val="center"/>
          </w:tcPr>
          <w:p>
            <w:pPr>
              <w:spacing w:after="0"/>
            </w:pPr>
            <w:r>
              <w:rPr>
                <w:rFonts w:ascii="Calibri" w:hAnsi="Calibri"/>
                <w:b w:val="0"/>
                <w:i w:val="0"/>
                <w:color w:val="102238"/>
                <w:sz w:val="19"/>
              </w:rPr>
              <w:t>0.1 - Draft for review</w:t>
            </w:r>
          </w:p>
        </w:tc>
      </w:tr>
      <w:tr>
        <w:tc>
          <w:tcPr>
            <w:tcW w:type="dxa" w:w="2050"/>
            <w:tcMar>
              <w:top w:w="80" w:type="dxa"/>
              <w:start w:w="120" w:type="dxa"/>
              <w:bottom w:w="80" w:type="dxa"/>
              <w:end w:w="120" w:type="dxa"/>
            </w:tcMar>
            <w:vAlign w:val="center"/>
            <w:shd w:fill="E8EEF5"/>
          </w:tcPr>
          <w:p>
            <w:pPr>
              <w:spacing w:after="0"/>
            </w:pPr>
            <w:r>
              <w:rPr>
                <w:rFonts w:ascii="Calibri" w:hAnsi="Calibri"/>
                <w:b/>
                <w:i w:val="0"/>
                <w:color w:val="102238"/>
                <w:sz w:val="19"/>
              </w:rPr>
              <w:t>Prepared</w:t>
            </w:r>
          </w:p>
        </w:tc>
        <w:tc>
          <w:tcPr>
            <w:tcW w:type="dxa" w:w="7310"/>
            <w:tcMar>
              <w:top w:w="80" w:type="dxa"/>
              <w:start w:w="120" w:type="dxa"/>
              <w:bottom w:w="80" w:type="dxa"/>
              <w:end w:w="120" w:type="dxa"/>
            </w:tcMar>
            <w:vAlign w:val="center"/>
          </w:tcPr>
          <w:p>
            <w:pPr>
              <w:spacing w:after="0"/>
            </w:pPr>
            <w:r>
              <w:rPr>
                <w:rFonts w:ascii="Calibri" w:hAnsi="Calibri"/>
                <w:b w:val="0"/>
                <w:i w:val="0"/>
                <w:color w:val="102238"/>
                <w:sz w:val="19"/>
              </w:rPr>
              <w:t>14 August 2026</w:t>
            </w:r>
          </w:p>
        </w:tc>
      </w:tr>
      <w:tr>
        <w:tc>
          <w:tcPr>
            <w:tcW w:type="dxa" w:w="2050"/>
            <w:tcMar>
              <w:top w:w="80" w:type="dxa"/>
              <w:start w:w="120" w:type="dxa"/>
              <w:bottom w:w="80" w:type="dxa"/>
              <w:end w:w="120" w:type="dxa"/>
            </w:tcMar>
            <w:vAlign w:val="center"/>
            <w:shd w:fill="E8EEF5"/>
          </w:tcPr>
          <w:p>
            <w:pPr>
              <w:spacing w:after="0"/>
            </w:pPr>
            <w:r>
              <w:rPr>
                <w:rFonts w:ascii="Calibri" w:hAnsi="Calibri"/>
                <w:b/>
                <w:i w:val="0"/>
                <w:color w:val="102238"/>
                <w:sz w:val="19"/>
              </w:rPr>
              <w:t>Purpose</w:t>
            </w:r>
          </w:p>
        </w:tc>
        <w:tc>
          <w:tcPr>
            <w:tcW w:type="dxa" w:w="7310"/>
            <w:tcMar>
              <w:top w:w="80" w:type="dxa"/>
              <w:start w:w="120" w:type="dxa"/>
              <w:bottom w:w="80" w:type="dxa"/>
              <w:end w:w="120" w:type="dxa"/>
            </w:tcMar>
            <w:vAlign w:val="center"/>
          </w:tcPr>
          <w:p>
            <w:pPr>
              <w:spacing w:after="0"/>
            </w:pPr>
            <w:r>
              <w:rPr>
                <w:rFonts w:ascii="Calibri" w:hAnsi="Calibri"/>
                <w:b w:val="0"/>
                <w:i w:val="0"/>
                <w:color w:val="102238"/>
                <w:sz w:val="19"/>
              </w:rPr>
              <w:t>Define the target architecture, permission model, workflows, interfaces and safe reconstruction approach.</w:t>
            </w:r>
          </w:p>
        </w:tc>
      </w:tr>
      <w:tr>
        <w:tc>
          <w:tcPr>
            <w:tcW w:type="dxa" w:w="2050"/>
            <w:tcMar>
              <w:top w:w="80" w:type="dxa"/>
              <w:start w:w="120" w:type="dxa"/>
              <w:bottom w:w="80" w:type="dxa"/>
              <w:end w:w="120" w:type="dxa"/>
            </w:tcMar>
            <w:vAlign w:val="center"/>
            <w:shd w:fill="E8EEF5"/>
          </w:tcPr>
          <w:p>
            <w:pPr>
              <w:spacing w:after="0"/>
            </w:pPr>
            <w:r>
              <w:rPr>
                <w:rFonts w:ascii="Calibri" w:hAnsi="Calibri"/>
                <w:b/>
                <w:i w:val="0"/>
                <w:color w:val="102238"/>
                <w:sz w:val="19"/>
              </w:rPr>
              <w:t>Execution status</w:t>
            </w:r>
          </w:p>
        </w:tc>
        <w:tc>
          <w:tcPr>
            <w:tcW w:type="dxa" w:w="7310"/>
            <w:tcMar>
              <w:top w:w="80" w:type="dxa"/>
              <w:start w:w="120" w:type="dxa"/>
              <w:bottom w:w="80" w:type="dxa"/>
              <w:end w:w="120" w:type="dxa"/>
            </w:tcMar>
            <w:vAlign w:val="center"/>
          </w:tcPr>
          <w:p>
            <w:pPr>
              <w:spacing w:after="0"/>
            </w:pPr>
            <w:r>
              <w:rPr>
                <w:rFonts w:ascii="Calibri" w:hAnsi="Calibri"/>
                <w:b w:val="0"/>
                <w:i w:val="0"/>
                <w:color w:val="102238"/>
                <w:sz w:val="19"/>
              </w:rPr>
              <w:t>Design only - no migration, import, generator, database, or deployment command has been run</w:t>
            </w:r>
          </w:p>
        </w:tc>
      </w:tr>
    </w:tbl>
    <w:p>
      <w:pPr>
        <w:spacing w:before="280" w:after="0"/>
        <w:shd w:fill="E7F5F3"/>
      </w:pPr>
      <w:r>
        <w:rPr>
          <w:rFonts w:ascii="Calibri" w:hAnsi="Calibri"/>
          <w:b/>
          <w:i w:val="0"/>
          <w:color w:val="0C8F86"/>
          <w:sz w:val="20"/>
        </w:rPr>
        <w:t xml:space="preserve">DESIGN PRINCIPLE  </w:t>
      </w:r>
      <w:r>
        <w:rPr>
          <w:rFonts w:ascii="Calibri" w:hAnsi="Calibri"/>
          <w:b w:val="0"/>
          <w:i w:val="0"/>
          <w:color w:val="102238"/>
          <w:sz w:val="20"/>
        </w:rPr>
        <w:t>One public identity, one shared registration path, controlled role elevation, request-centred collaboration, auditable time, and explainable billing.</w:t>
      </w:r>
    </w:p>
    <w:p>
      <w:pPr>
        <w:pStyle w:val="Heading1"/>
      </w:pPr>
      <w:r>
        <w:t>1. Architecture decision</w:t>
      </w:r>
    </w:p>
    <w:p>
      <w:r>
        <w:rPr>
          <w:rFonts w:ascii="Calibri" w:hAnsi="Calibri"/>
          <w:b w:val="0"/>
          <w:i w:val="0"/>
          <w:color w:val="102238"/>
          <w:sz w:val="22"/>
        </w:rPr>
        <w:t>Rebuild Trainit from the current master custom PHP/SQLite framework, preserving the existing static site as a timestamped legacy snapshot and translating its public visual system into framework views and assets. Do not layer portal features directly onto the static HTML files. The framework becomes the single application shell for public pages, authentication, role dashboards and operational modules.</w:t>
      </w:r>
    </w:p>
    <w:p>
      <w:pPr>
        <w:pStyle w:val="Heading1"/>
      </w:pPr>
      <w:r>
        <w:t>2. Current-state findings</w:t>
      </w:r>
    </w:p>
    <w:tbl>
      <w:tblPr>
        <w:tblW w:type="dxa" w:w="9360"/>
        <w:jc w:val="left"/>
        <w:tblLayout w:type="fixed"/>
        <w:tblLook w:firstColumn="1" w:firstRow="1" w:lastColumn="0" w:lastRow="0" w:noHBand="0" w:noVBand="1" w:val="04A0"/>
        <w:tblInd w:w="120" w:type="dxa"/>
      </w:tblPr>
      <w:tblGrid>
        <w:gridCol w:w="1700"/>
        <w:gridCol w:w="3540"/>
        <w:gridCol w:w="4120"/>
      </w:tblGrid>
      <w:tr>
        <w:trPr>
          <w:tblHeader w:val="true"/>
        </w:trPr>
        <w:tc>
          <w:tcPr>
            <w:tcW w:type="dxa" w:w="1700"/>
            <w:shd w:fill="E8EEF5"/>
            <w:tcMar>
              <w:top w:w="80" w:type="dxa"/>
              <w:start w:w="120" w:type="dxa"/>
              <w:bottom w:w="80" w:type="dxa"/>
              <w:end w:w="120" w:type="dxa"/>
            </w:tcMar>
            <w:vAlign w:val="center"/>
          </w:tcPr>
          <w:p>
            <w:pPr>
              <w:spacing w:before="0" w:after="20" w:line="252" w:lineRule="auto"/>
            </w:pPr>
            <w:r>
              <w:rPr>
                <w:rFonts w:ascii="Calibri" w:hAnsi="Calibri"/>
                <w:b/>
                <w:i w:val="0"/>
                <w:color w:val="102238"/>
                <w:sz w:val="16"/>
              </w:rPr>
              <w:t>Area</w:t>
            </w:r>
          </w:p>
        </w:tc>
        <w:tc>
          <w:tcPr>
            <w:tcW w:type="dxa" w:w="3540"/>
            <w:shd w:fill="E8EEF5"/>
            <w:tcMar>
              <w:top w:w="80" w:type="dxa"/>
              <w:start w:w="120" w:type="dxa"/>
              <w:bottom w:w="80" w:type="dxa"/>
              <w:end w:w="120" w:type="dxa"/>
            </w:tcMar>
            <w:vAlign w:val="center"/>
          </w:tcPr>
          <w:p>
            <w:pPr>
              <w:spacing w:before="0" w:after="20" w:line="252" w:lineRule="auto"/>
              <w:jc w:val="center"/>
            </w:pPr>
            <w:r>
              <w:rPr>
                <w:rFonts w:ascii="Calibri" w:hAnsi="Calibri"/>
                <w:b/>
                <w:i w:val="0"/>
                <w:color w:val="102238"/>
                <w:sz w:val="16"/>
              </w:rPr>
              <w:t>Observed state</w:t>
            </w:r>
          </w:p>
        </w:tc>
        <w:tc>
          <w:tcPr>
            <w:tcW w:type="dxa" w:w="4120"/>
            <w:shd w:fill="E8EEF5"/>
            <w:tcMar>
              <w:top w:w="80" w:type="dxa"/>
              <w:start w:w="120" w:type="dxa"/>
              <w:bottom w:w="80" w:type="dxa"/>
              <w:end w:w="120" w:type="dxa"/>
            </w:tcMar>
            <w:vAlign w:val="center"/>
          </w:tcPr>
          <w:p>
            <w:pPr>
              <w:spacing w:before="0" w:after="20" w:line="252" w:lineRule="auto"/>
            </w:pPr>
            <w:r>
              <w:rPr>
                <w:rFonts w:ascii="Calibri" w:hAnsi="Calibri"/>
                <w:b/>
                <w:i w:val="0"/>
                <w:color w:val="102238"/>
                <w:sz w:val="16"/>
              </w:rPr>
              <w:t>Design consequence</w:t>
            </w:r>
          </w:p>
        </w:tc>
      </w:tr>
      <w:tr>
        <w:tc>
          <w:tcPr>
            <w:tcW w:type="dxa" w:w="17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Trainit project</w:t>
            </w:r>
          </w:p>
        </w:tc>
        <w:tc>
          <w:tcPr>
            <w:tcW w:type="dxa" w:w="354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Five static HTML pages plus one shared styles.css; no application router, database or authentication in this folder.</w:t>
            </w:r>
          </w:p>
        </w:tc>
        <w:tc>
          <w:tcPr>
            <w:tcW w:type="dxa" w:w="412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Preserve content/design, but rebuild routes/views inside master rather than patching static pages.</w:t>
            </w:r>
          </w:p>
        </w:tc>
      </w:tr>
      <w:tr>
        <w:tc>
          <w:tcPr>
            <w:tcW w:type="dxa" w:w="17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Public design</w:t>
            </w:r>
          </w:p>
        </w:tc>
        <w:tc>
          <w:tcPr>
            <w:tcW w:type="dxa" w:w="354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Arial; ink #102238; blue #176BD6; teal #0C8F86; gold #C98619; white/soft surfaces; rounded cards; responsive grids.</w:t>
            </w:r>
          </w:p>
        </w:tc>
        <w:tc>
          <w:tcPr>
            <w:tcW w:type="dxa" w:w="412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Create Trainit theme tokens and reuse them across public pages and portal components.</w:t>
            </w:r>
          </w:p>
        </w:tc>
      </w:tr>
      <w:tr>
        <w:tc>
          <w:tcPr>
            <w:tcW w:type="dxa" w:w="17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Master framework</w:t>
            </w:r>
          </w:p>
        </w:tc>
        <w:tc>
          <w:tcPr>
            <w:tcW w:type="dxa" w:w="354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Custom PHP MVC, front controller, PSR-4 app classes, PHP views, shared navigation, Bootstrap/jQuery assets and SQLite.</w:t>
            </w:r>
          </w:p>
        </w:tc>
        <w:tc>
          <w:tcPr>
            <w:tcW w:type="dxa" w:w="412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Use existing conventions; keep domain logic out of route closures and generated CRUD controllers.</w:t>
            </w:r>
          </w:p>
        </w:tc>
      </w:tr>
      <w:tr>
        <w:tc>
          <w:tcPr>
            <w:tcW w:type="dxa" w:w="17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Generator</w:t>
            </w:r>
          </w:p>
        </w:tc>
        <w:tc>
          <w:tcPr>
            <w:tcW w:type="dxa" w:w="354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One PHP command creates model, controller, view group, script, routes and admin nav/dashboard entries.</w:t>
            </w:r>
          </w:p>
        </w:tc>
        <w:tc>
          <w:tcPr>
            <w:tcW w:type="dxa" w:w="412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Use it for scaffolding, then specialise workflow-heavy modules.</w:t>
            </w:r>
          </w:p>
        </w:tc>
      </w:tr>
      <w:tr>
        <w:tc>
          <w:tcPr>
            <w:tcW w:type="dxa" w:w="17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Schema creation</w:t>
            </w:r>
          </w:p>
        </w:tc>
        <w:tc>
          <w:tcPr>
            <w:tcW w:type="dxa" w:w="354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Generated model constructors auto-create a table; generated columns are NOT NULL.</w:t>
            </w:r>
          </w:p>
        </w:tc>
        <w:tc>
          <w:tcPr>
            <w:tcW w:type="dxa" w:w="412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Patch schemas, defaults, constraints and indexes before first model boot.</w:t>
            </w:r>
          </w:p>
        </w:tc>
      </w:tr>
      <w:tr>
        <w:tc>
          <w:tcPr>
            <w:tcW w:type="dxa" w:w="17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Roles</w:t>
            </w:r>
          </w:p>
        </w:tc>
        <w:tc>
          <w:tcPr>
            <w:tcW w:type="dxa" w:w="354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Current base roles are Administrator and General User; navigation reduces all non-admin roles to user presentation.</w:t>
            </w:r>
          </w:p>
        </w:tc>
        <w:tc>
          <w:tcPr>
            <w:tcW w:type="dxa" w:w="412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Extend roles and navigation mapping for Client, Associate, Apprentice, Manager, Billing and Vetting.</w:t>
            </w:r>
          </w:p>
        </w:tc>
      </w:tr>
      <w:tr>
        <w:tc>
          <w:tcPr>
            <w:tcW w:type="dxa" w:w="17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Access</w:t>
            </w:r>
          </w:p>
        </w:tc>
        <w:tc>
          <w:tcPr>
            <w:tcW w:type="dxa" w:w="354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ViewAccess can declare allowed roles in a view header and routes enforce the same group.</w:t>
            </w:r>
          </w:p>
        </w:tc>
        <w:tc>
          <w:tcPr>
            <w:tcW w:type="dxa" w:w="412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Keep one-line view policy, but also add record-level policies for organisation/request ownership.</w:t>
            </w:r>
          </w:p>
        </w:tc>
      </w:tr>
    </w:tbl>
    <w:p>
      <w:pPr>
        <w:spacing w:after="20"/>
      </w:pPr>
    </w:p>
    <w:p>
      <w:pPr>
        <w:pStyle w:val="Heading1"/>
      </w:pPr>
      <w:r>
        <w:t>3. Target logical architecture</w:t>
      </w:r>
    </w:p>
    <w:p>
      <w:pPr>
        <w:spacing w:before="0" w:after="0"/>
        <w:ind w:left="259" w:right="115"/>
        <w:shd w:fill="F2F4F7"/>
      </w:pPr>
      <w:r>
        <w:rPr>
          <w:rFonts w:ascii="Courier New" w:hAnsi="Courier New"/>
          <w:b w:val="0"/>
          <w:i w:val="0"/>
          <w:color w:val="102238"/>
          <w:sz w:val="16"/>
        </w:rPr>
        <w:t>Browser / responsive portal</w:t>
      </w:r>
    </w:p>
    <w:p>
      <w:pPr>
        <w:spacing w:before="0" w:after="0"/>
        <w:ind w:left="259" w:right="115"/>
        <w:shd w:fill="F2F4F7"/>
      </w:pPr>
      <w:r>
        <w:rPr>
          <w:rFonts w:ascii="Courier New" w:hAnsi="Courier New"/>
          <w:b w:val="0"/>
          <w:i w:val="0"/>
          <w:color w:val="102238"/>
          <w:sz w:val="16"/>
        </w:rPr>
        <w:t xml:space="preserve">  -&gt; public routes + authenticated routes</w:t>
      </w:r>
    </w:p>
    <w:p>
      <w:pPr>
        <w:spacing w:before="0" w:after="0"/>
        <w:ind w:left="259" w:right="115"/>
        <w:shd w:fill="F2F4F7"/>
      </w:pPr>
      <w:r>
        <w:rPr>
          <w:rFonts w:ascii="Courier New" w:hAnsi="Courier New"/>
          <w:b w:val="0"/>
          <w:i w:val="0"/>
          <w:color w:val="102238"/>
          <w:sz w:val="16"/>
        </w:rPr>
        <w:t xml:space="preserve">  -&gt; authentication, CSRF, role and record-level policy middleware</w:t>
      </w:r>
    </w:p>
    <w:p>
      <w:pPr>
        <w:spacing w:before="0" w:after="0"/>
        <w:ind w:left="259" w:right="115"/>
        <w:shd w:fill="F2F4F7"/>
      </w:pPr>
      <w:r>
        <w:rPr>
          <w:rFonts w:ascii="Courier New" w:hAnsi="Courier New"/>
          <w:b w:val="0"/>
          <w:i w:val="0"/>
          <w:color w:val="102238"/>
          <w:sz w:val="16"/>
        </w:rPr>
        <w:t xml:space="preserve">  -&gt; controllers (HTTP orchestration only)</w:t>
      </w:r>
    </w:p>
    <w:p>
      <w:pPr>
        <w:spacing w:before="0" w:after="0"/>
        <w:ind w:left="259" w:right="115"/>
        <w:shd w:fill="F2F4F7"/>
      </w:pPr>
      <w:r>
        <w:rPr>
          <w:rFonts w:ascii="Courier New" w:hAnsi="Courier New"/>
          <w:b w:val="0"/>
          <w:i w:val="0"/>
          <w:color w:val="102238"/>
          <w:sz w:val="16"/>
        </w:rPr>
        <w:t xml:space="preserve">  -&gt; domain services</w:t>
      </w:r>
    </w:p>
    <w:p>
      <w:pPr>
        <w:spacing w:before="0" w:after="0"/>
        <w:ind w:left="259" w:right="115"/>
        <w:shd w:fill="F2F4F7"/>
      </w:pPr>
      <w:r>
        <w:rPr>
          <w:rFonts w:ascii="Courier New" w:hAnsi="Courier New"/>
          <w:b w:val="0"/>
          <w:i w:val="0"/>
          <w:color w:val="102238"/>
          <w:sz w:val="16"/>
        </w:rPr>
        <w:t xml:space="preserve">       AccountApplicationService | RequestWorkflowService | AssignmentService</w:t>
      </w:r>
    </w:p>
    <w:p>
      <w:pPr>
        <w:spacing w:before="0" w:after="0"/>
        <w:ind w:left="259" w:right="115"/>
        <w:shd w:fill="F2F4F7"/>
      </w:pPr>
      <w:r>
        <w:rPr>
          <w:rFonts w:ascii="Courier New" w:hAnsi="Courier New"/>
          <w:b w:val="0"/>
          <w:i w:val="0"/>
          <w:color w:val="102238"/>
          <w:sz w:val="16"/>
        </w:rPr>
        <w:t xml:space="preserve">       TimeApprovalService | BillingService | PaymentService | NotificationService</w:t>
      </w:r>
    </w:p>
    <w:p>
      <w:pPr>
        <w:spacing w:before="0" w:after="0"/>
        <w:ind w:left="259" w:right="115"/>
        <w:shd w:fill="F2F4F7"/>
      </w:pPr>
      <w:r>
        <w:rPr>
          <w:rFonts w:ascii="Courier New" w:hAnsi="Courier New"/>
          <w:b w:val="0"/>
          <w:i w:val="0"/>
          <w:color w:val="102238"/>
          <w:sz w:val="16"/>
        </w:rPr>
        <w:t xml:space="preserve">  -&gt; repositories/models + transactional unit of work</w:t>
      </w:r>
    </w:p>
    <w:p>
      <w:pPr>
        <w:spacing w:before="0" w:after="0"/>
        <w:ind w:left="259" w:right="115"/>
        <w:shd w:fill="F2F4F7"/>
      </w:pPr>
      <w:r>
        <w:rPr>
          <w:rFonts w:ascii="Courier New" w:hAnsi="Courier New"/>
          <w:b w:val="0"/>
          <w:i w:val="0"/>
          <w:color w:val="102238"/>
          <w:sz w:val="16"/>
        </w:rPr>
        <w:t xml:space="preserve">  -&gt; SQLite (MVP, WAL + foreign keys + indexes) | private file storage</w:t>
      </w:r>
    </w:p>
    <w:p>
      <w:pPr>
        <w:spacing w:before="0" w:after="0"/>
        <w:ind w:left="259" w:right="115"/>
        <w:shd w:fill="F2F4F7"/>
      </w:pPr>
      <w:r>
        <w:rPr>
          <w:rFonts w:ascii="Courier New" w:hAnsi="Courier New"/>
          <w:b w:val="0"/>
          <w:i w:val="0"/>
          <w:color w:val="102238"/>
          <w:sz w:val="16"/>
        </w:rPr>
        <w:t xml:space="preserve">  -&gt; outbound adapters: email now; payment gateway and SMS later</w:t>
      </w:r>
    </w:p>
    <w:p>
      <w:pPr>
        <w:spacing w:before="0" w:after="0"/>
        <w:ind w:left="259" w:right="115"/>
        <w:shd w:fill="F2F4F7"/>
      </w:pPr>
      <w:r>
        <w:rPr>
          <w:rFonts w:ascii="Courier New" w:hAnsi="Courier New"/>
          <w:b w:val="0"/>
          <w:i w:val="0"/>
          <w:color w:val="102238"/>
          <w:sz w:val="16"/>
        </w:rPr>
        <w:t xml:space="preserve">  -&gt; audit/event outbox -&gt; notification delivery worker/cron</w:t>
      </w:r>
    </w:p>
    <w:p>
      <w:r>
        <w:rPr>
          <w:rFonts w:ascii="Calibri" w:hAnsi="Calibri"/>
          <w:b w:val="0"/>
          <w:i w:val="0"/>
          <w:color w:val="102238"/>
          <w:sz w:val="22"/>
        </w:rPr>
        <w:t>The generated CRUD surface is appropriate for catalogue and low-risk configuration. Request assignment, time approval, billing, payment reversal, vetting and notification delivery must use explicit domain services and transactions because they span records and enforce state transitions.</w:t>
      </w:r>
    </w:p>
    <w:p>
      <w:pPr>
        <w:pStyle w:val="Heading1"/>
      </w:pPr>
      <w:r>
        <w:t>4. Bounded modules</w:t>
      </w:r>
    </w:p>
    <w:tbl>
      <w:tblPr>
        <w:tblW w:type="dxa" w:w="9360"/>
        <w:jc w:val="left"/>
        <w:tblLayout w:type="fixed"/>
        <w:tblLook w:firstColumn="1" w:firstRow="1" w:lastColumn="0" w:lastRow="0" w:noHBand="0" w:noVBand="1" w:val="04A0"/>
        <w:tblInd w:w="120" w:type="dxa"/>
      </w:tblPr>
      <w:tblGrid>
        <w:gridCol w:w="1700"/>
        <w:gridCol w:w="4330"/>
        <w:gridCol w:w="3330"/>
      </w:tblGrid>
      <w:tr>
        <w:trPr>
          <w:tblHeader w:val="true"/>
        </w:trPr>
        <w:tc>
          <w:tcPr>
            <w:tcW w:type="dxa" w:w="1700"/>
            <w:shd w:fill="E8EEF5"/>
            <w:tcMar>
              <w:top w:w="80" w:type="dxa"/>
              <w:start w:w="120" w:type="dxa"/>
              <w:bottom w:w="80" w:type="dxa"/>
              <w:end w:w="120" w:type="dxa"/>
            </w:tcMar>
            <w:vAlign w:val="center"/>
          </w:tcPr>
          <w:p>
            <w:pPr>
              <w:spacing w:before="0" w:after="20" w:line="252" w:lineRule="auto"/>
            </w:pPr>
            <w:r>
              <w:rPr>
                <w:rFonts w:ascii="Calibri" w:hAnsi="Calibri"/>
                <w:b/>
                <w:i w:val="0"/>
                <w:color w:val="102238"/>
                <w:sz w:val="16"/>
              </w:rPr>
              <w:t>Module</w:t>
            </w:r>
          </w:p>
        </w:tc>
        <w:tc>
          <w:tcPr>
            <w:tcW w:type="dxa" w:w="4330"/>
            <w:shd w:fill="E8EEF5"/>
            <w:tcMar>
              <w:top w:w="80" w:type="dxa"/>
              <w:start w:w="120" w:type="dxa"/>
              <w:bottom w:w="80" w:type="dxa"/>
              <w:end w:w="120" w:type="dxa"/>
            </w:tcMar>
            <w:vAlign w:val="center"/>
          </w:tcPr>
          <w:p>
            <w:pPr>
              <w:spacing w:before="0" w:after="20" w:line="252" w:lineRule="auto"/>
              <w:jc w:val="center"/>
            </w:pPr>
            <w:r>
              <w:rPr>
                <w:rFonts w:ascii="Calibri" w:hAnsi="Calibri"/>
                <w:b/>
                <w:i w:val="0"/>
                <w:color w:val="102238"/>
                <w:sz w:val="16"/>
              </w:rPr>
              <w:t>Responsibilities</w:t>
            </w:r>
          </w:p>
        </w:tc>
        <w:tc>
          <w:tcPr>
            <w:tcW w:type="dxa" w:w="3330"/>
            <w:shd w:fill="E8EEF5"/>
            <w:tcMar>
              <w:top w:w="80" w:type="dxa"/>
              <w:start w:w="120" w:type="dxa"/>
              <w:bottom w:w="80" w:type="dxa"/>
              <w:end w:w="120" w:type="dxa"/>
            </w:tcMar>
            <w:vAlign w:val="center"/>
          </w:tcPr>
          <w:p>
            <w:pPr>
              <w:spacing w:before="0" w:after="20" w:line="252" w:lineRule="auto"/>
              <w:jc w:val="center"/>
            </w:pPr>
            <w:r>
              <w:rPr>
                <w:rFonts w:ascii="Calibri" w:hAnsi="Calibri"/>
                <w:b/>
                <w:i w:val="0"/>
                <w:color w:val="102238"/>
                <w:sz w:val="16"/>
              </w:rPr>
              <w:t>Primary records</w:t>
            </w:r>
          </w:p>
        </w:tc>
      </w:tr>
      <w:tr>
        <w:tc>
          <w:tcPr>
            <w:tcW w:type="dxa" w:w="17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Identity &amp; Access</w:t>
            </w:r>
          </w:p>
        </w:tc>
        <w:tc>
          <w:tcPr>
            <w:tcW w:type="dxa" w:w="433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Common registration, login, role elevation, memberships, policies and account state.</w:t>
            </w:r>
          </w:p>
        </w:tc>
        <w:tc>
          <w:tcPr>
            <w:tcW w:type="dxa" w:w="333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user, user_role, clientmembership</w:t>
            </w:r>
          </w:p>
        </w:tc>
      </w:tr>
      <w:tr>
        <w:tc>
          <w:tcPr>
            <w:tcW w:type="dxa" w:w="17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Vetting</w:t>
            </w:r>
          </w:p>
        </w:tc>
        <w:tc>
          <w:tcPr>
            <w:tcW w:type="dxa" w:w="433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Applications, evidence, reviewer workflow, approval/rejection and professional/client activation.</w:t>
            </w:r>
          </w:p>
        </w:tc>
        <w:tc>
          <w:tcPr>
            <w:tcW w:type="dxa" w:w="333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accountapplication, professionalapplication, clientapplication, qualification, workexperience</w:t>
            </w:r>
          </w:p>
        </w:tc>
      </w:tr>
      <w:tr>
        <w:tc>
          <w:tcPr>
            <w:tcW w:type="dxa" w:w="17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Service Catalogue</w:t>
            </w:r>
          </w:p>
        </w:tc>
        <w:tc>
          <w:tcPr>
            <w:tcW w:type="dxa" w:w="433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Expandable services, offerings, expertise, price versions and SLA policies.</w:t>
            </w:r>
          </w:p>
        </w:tc>
        <w:tc>
          <w:tcPr>
            <w:tcW w:type="dxa" w:w="333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servicecategory, serviceoffering, expertise, serviceprice, servicelevelpolicy</w:t>
            </w:r>
          </w:p>
        </w:tc>
      </w:tr>
      <w:tr>
        <w:tc>
          <w:tcPr>
            <w:tcW w:type="dxa" w:w="17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Client Management</w:t>
            </w:r>
          </w:p>
        </w:tc>
        <w:tc>
          <w:tcPr>
            <w:tcW w:type="dxa" w:w="433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Organisations, contacts, service plans, managers and billing ownership.</w:t>
            </w:r>
          </w:p>
        </w:tc>
        <w:tc>
          <w:tcPr>
            <w:tcW w:type="dxa" w:w="333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clientorganization, clientmembership, clientserviceplan</w:t>
            </w:r>
          </w:p>
        </w:tc>
      </w:tr>
      <w:tr>
        <w:tc>
          <w:tcPr>
            <w:tcW w:type="dxa" w:w="17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Request Delivery</w:t>
            </w:r>
          </w:p>
        </w:tc>
        <w:tc>
          <w:tcPr>
            <w:tcW w:type="dxa" w:w="433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Intake, triage, assignment, acceptance, communication, attachments, status and SLA.</w:t>
            </w:r>
          </w:p>
        </w:tc>
        <w:tc>
          <w:tcPr>
            <w:tcW w:type="dxa" w:w="333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servicerequest, workassignment, requestmessage, requestattachment, requeststatushistory</w:t>
            </w:r>
          </w:p>
        </w:tc>
      </w:tr>
      <w:tr>
        <w:tc>
          <w:tcPr>
            <w:tcW w:type="dxa" w:w="17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Time &amp; Quality</w:t>
            </w:r>
          </w:p>
        </w:tc>
        <w:tc>
          <w:tcPr>
            <w:tcW w:type="dxa" w:w="433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Time capture, validation, approval, locking and controlled adjustments.</w:t>
            </w:r>
          </w:p>
        </w:tc>
        <w:tc>
          <w:tcPr>
            <w:tcW w:type="dxa" w:w="333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timelog, timeadjustment</w:t>
            </w:r>
          </w:p>
        </w:tc>
      </w:tr>
      <w:tr>
        <w:tc>
          <w:tcPr>
            <w:tcW w:type="dxa" w:w="17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Billing &amp; Receivables</w:t>
            </w:r>
          </w:p>
        </w:tc>
        <w:tc>
          <w:tcPr>
            <w:tcW w:type="dxa" w:w="433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Billing periods, included usage, invoice generation, issue, credits, payments and allocations.</w:t>
            </w:r>
          </w:p>
        </w:tc>
        <w:tc>
          <w:tcPr>
            <w:tcW w:type="dxa" w:w="333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billingperiod, invoice, invoiceitem, invoiceusage, payment, paymentallocation, creditnote</w:t>
            </w:r>
          </w:p>
        </w:tc>
      </w:tr>
      <w:tr>
        <w:tc>
          <w:tcPr>
            <w:tcW w:type="dxa" w:w="17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Notifications &amp; Audit</w:t>
            </w:r>
          </w:p>
        </w:tc>
        <w:tc>
          <w:tcPr>
            <w:tcW w:type="dxa" w:w="433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Event outbox, delivery preferences/retries, read state and immutable audit trail.</w:t>
            </w:r>
          </w:p>
        </w:tc>
        <w:tc>
          <w:tcPr>
            <w:tcW w:type="dxa" w:w="333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notification, notificationdelivery, notificationpreference, auditevent</w:t>
            </w:r>
          </w:p>
        </w:tc>
      </w:tr>
      <w:tr>
        <w:tc>
          <w:tcPr>
            <w:tcW w:type="dxa" w:w="17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Reporting</w:t>
            </w:r>
          </w:p>
        </w:tc>
        <w:tc>
          <w:tcPr>
            <w:tcW w:type="dxa" w:w="433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Role dashboards, aging, utilisation, included-hours consumption, billing and payment exceptions.</w:t>
            </w:r>
          </w:p>
        </w:tc>
        <w:tc>
          <w:tcPr>
            <w:tcW w:type="dxa" w:w="333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Read models/queries; no duplicate source-of-truth tables unless justified</w:t>
            </w:r>
          </w:p>
        </w:tc>
      </w:tr>
    </w:tbl>
    <w:p>
      <w:pPr>
        <w:spacing w:after="20"/>
      </w:pPr>
    </w:p>
    <w:p>
      <w:pPr>
        <w:pStyle w:val="Heading1"/>
      </w:pPr>
      <w:r>
        <w:t>5. Access-control design</w:t>
      </w:r>
    </w:p>
    <w:p>
      <w:r>
        <w:rPr>
          <w:rFonts w:ascii="Calibri" w:hAnsi="Calibri"/>
          <w:b w:val="0"/>
          <w:i w:val="0"/>
          <w:color w:val="102238"/>
          <w:sz w:val="22"/>
        </w:rPr>
        <w:t>Access is the intersection of authentication, primary role/capability, organisation membership, record relationship and workflow state. A user passing ViewAccess is not automatically allowed to read every record returned by that module.</w:t>
      </w:r>
    </w:p>
    <w:tbl>
      <w:tblPr>
        <w:tblW w:type="dxa" w:w="9360"/>
        <w:jc w:val="left"/>
        <w:tblLayout w:type="fixed"/>
        <w:tblLook w:firstColumn="1" w:firstRow="1" w:lastColumn="0" w:lastRow="0" w:noHBand="0" w:noVBand="1" w:val="04A0"/>
        <w:tblInd w:w="120" w:type="dxa"/>
      </w:tblPr>
      <w:tblGrid>
        <w:gridCol w:w="1800"/>
        <w:gridCol w:w="1780"/>
        <w:gridCol w:w="1780"/>
        <w:gridCol w:w="1450"/>
        <w:gridCol w:w="1250"/>
        <w:gridCol w:w="1300"/>
      </w:tblGrid>
      <w:tr>
        <w:trPr>
          <w:tblHeader w:val="true"/>
        </w:trPr>
        <w:tc>
          <w:tcPr>
            <w:tcW w:type="dxa" w:w="1800"/>
            <w:shd w:fill="E8EEF5"/>
            <w:tcMar>
              <w:top w:w="80" w:type="dxa"/>
              <w:start w:w="120" w:type="dxa"/>
              <w:bottom w:w="80" w:type="dxa"/>
              <w:end w:w="120" w:type="dxa"/>
            </w:tcMar>
            <w:vAlign w:val="center"/>
          </w:tcPr>
          <w:p>
            <w:pPr>
              <w:spacing w:before="0" w:after="20" w:line="252" w:lineRule="auto"/>
            </w:pPr>
            <w:r>
              <w:rPr>
                <w:rFonts w:ascii="Calibri" w:hAnsi="Calibri"/>
                <w:b/>
                <w:i w:val="0"/>
                <w:color w:val="102238"/>
                <w:sz w:val="15"/>
              </w:rPr>
              <w:t>Surface</w:t>
            </w:r>
          </w:p>
        </w:tc>
        <w:tc>
          <w:tcPr>
            <w:tcW w:type="dxa" w:w="1780"/>
            <w:shd w:fill="E8EEF5"/>
            <w:tcMar>
              <w:top w:w="80" w:type="dxa"/>
              <w:start w:w="120" w:type="dxa"/>
              <w:bottom w:w="80" w:type="dxa"/>
              <w:end w:w="120" w:type="dxa"/>
            </w:tcMar>
            <w:vAlign w:val="center"/>
          </w:tcPr>
          <w:p>
            <w:pPr>
              <w:spacing w:before="0" w:after="20" w:line="252" w:lineRule="auto"/>
              <w:jc w:val="center"/>
            </w:pPr>
            <w:r>
              <w:rPr>
                <w:rFonts w:ascii="Calibri" w:hAnsi="Calibri"/>
                <w:b/>
                <w:i w:val="0"/>
                <w:color w:val="102238"/>
                <w:sz w:val="15"/>
              </w:rPr>
              <w:t>Client</w:t>
            </w:r>
          </w:p>
        </w:tc>
        <w:tc>
          <w:tcPr>
            <w:tcW w:type="dxa" w:w="1780"/>
            <w:shd w:fill="E8EEF5"/>
            <w:tcMar>
              <w:top w:w="80" w:type="dxa"/>
              <w:start w:w="120" w:type="dxa"/>
              <w:bottom w:w="80" w:type="dxa"/>
              <w:end w:w="120" w:type="dxa"/>
            </w:tcMar>
            <w:vAlign w:val="center"/>
          </w:tcPr>
          <w:p>
            <w:pPr>
              <w:spacing w:before="0" w:after="20" w:line="252" w:lineRule="auto"/>
            </w:pPr>
            <w:r>
              <w:rPr>
                <w:rFonts w:ascii="Calibri" w:hAnsi="Calibri"/>
                <w:b/>
                <w:i w:val="0"/>
                <w:color w:val="102238"/>
                <w:sz w:val="15"/>
              </w:rPr>
              <w:t>Associate / Apprentice</w:t>
            </w:r>
          </w:p>
        </w:tc>
        <w:tc>
          <w:tcPr>
            <w:tcW w:type="dxa" w:w="1450"/>
            <w:shd w:fill="E8EEF5"/>
            <w:tcMar>
              <w:top w:w="80" w:type="dxa"/>
              <w:start w:w="120" w:type="dxa"/>
              <w:bottom w:w="80" w:type="dxa"/>
              <w:end w:w="120" w:type="dxa"/>
            </w:tcMar>
            <w:vAlign w:val="center"/>
          </w:tcPr>
          <w:p>
            <w:pPr>
              <w:spacing w:before="0" w:after="20" w:line="252" w:lineRule="auto"/>
              <w:jc w:val="center"/>
            </w:pPr>
            <w:r>
              <w:rPr>
                <w:rFonts w:ascii="Calibri" w:hAnsi="Calibri"/>
                <w:b/>
                <w:i w:val="0"/>
                <w:color w:val="102238"/>
                <w:sz w:val="15"/>
              </w:rPr>
              <w:t>Operations</w:t>
            </w:r>
          </w:p>
        </w:tc>
        <w:tc>
          <w:tcPr>
            <w:tcW w:type="dxa" w:w="1250"/>
            <w:shd w:fill="E8EEF5"/>
            <w:tcMar>
              <w:top w:w="80" w:type="dxa"/>
              <w:start w:w="120" w:type="dxa"/>
              <w:bottom w:w="80" w:type="dxa"/>
              <w:end w:w="120" w:type="dxa"/>
            </w:tcMar>
            <w:vAlign w:val="center"/>
          </w:tcPr>
          <w:p>
            <w:pPr>
              <w:spacing w:before="0" w:after="20" w:line="252" w:lineRule="auto"/>
              <w:jc w:val="center"/>
            </w:pPr>
            <w:r>
              <w:rPr>
                <w:rFonts w:ascii="Calibri" w:hAnsi="Calibri"/>
                <w:b/>
                <w:i w:val="0"/>
                <w:color w:val="102238"/>
                <w:sz w:val="15"/>
              </w:rPr>
              <w:t>Billing</w:t>
            </w:r>
          </w:p>
        </w:tc>
        <w:tc>
          <w:tcPr>
            <w:tcW w:type="dxa" w:w="1300"/>
            <w:shd w:fill="E8EEF5"/>
            <w:tcMar>
              <w:top w:w="80" w:type="dxa"/>
              <w:start w:w="120" w:type="dxa"/>
              <w:bottom w:w="80" w:type="dxa"/>
              <w:end w:w="120" w:type="dxa"/>
            </w:tcMar>
            <w:vAlign w:val="center"/>
          </w:tcPr>
          <w:p>
            <w:pPr>
              <w:spacing w:before="0" w:after="20" w:line="252" w:lineRule="auto"/>
              <w:jc w:val="center"/>
            </w:pPr>
            <w:r>
              <w:rPr>
                <w:rFonts w:ascii="Calibri" w:hAnsi="Calibri"/>
                <w:b/>
                <w:i w:val="0"/>
                <w:color w:val="102238"/>
                <w:sz w:val="15"/>
              </w:rPr>
              <w:t>Admin</w:t>
            </w:r>
          </w:p>
        </w:tc>
      </w:tr>
      <w:tr>
        <w:tc>
          <w:tcPr>
            <w:tcW w:type="dxa" w:w="180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Applications</w:t>
            </w:r>
          </w:p>
        </w:tc>
        <w:tc>
          <w:tcPr>
            <w:tcW w:type="dxa" w:w="178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Own/client application</w:t>
            </w:r>
          </w:p>
        </w:tc>
        <w:tc>
          <w:tcPr>
            <w:tcW w:type="dxa" w:w="178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Own professional application</w:t>
            </w:r>
          </w:p>
        </w:tc>
        <w:tc>
          <w:tcPr>
            <w:tcW w:type="dxa" w:w="145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Assigned review queue</w:t>
            </w:r>
          </w:p>
        </w:tc>
        <w:tc>
          <w:tcPr>
            <w:tcW w:type="dxa" w:w="1250"/>
            <w:tcMar>
              <w:top w:w="80" w:type="dxa"/>
              <w:start w:w="120" w:type="dxa"/>
              <w:bottom w:w="80" w:type="dxa"/>
              <w:end w:w="120" w:type="dxa"/>
            </w:tcMar>
            <w:vAlign w:val="center"/>
          </w:tcPr>
          <w:p>
            <w:pPr>
              <w:spacing w:before="0" w:after="20" w:line="252" w:lineRule="auto"/>
              <w:jc w:val="center"/>
            </w:pPr>
            <w:r>
              <w:rPr>
                <w:rFonts w:ascii="Calibri" w:hAnsi="Calibri"/>
                <w:b w:val="0"/>
                <w:i w:val="0"/>
                <w:color w:val="102238"/>
                <w:sz w:val="15"/>
              </w:rPr>
              <w:t>No by default</w:t>
            </w:r>
          </w:p>
        </w:tc>
        <w:tc>
          <w:tcPr>
            <w:tcW w:type="dxa" w:w="1300"/>
            <w:tcMar>
              <w:top w:w="80" w:type="dxa"/>
              <w:start w:w="120" w:type="dxa"/>
              <w:bottom w:w="80" w:type="dxa"/>
              <w:end w:w="120" w:type="dxa"/>
            </w:tcMar>
            <w:vAlign w:val="center"/>
          </w:tcPr>
          <w:p>
            <w:pPr>
              <w:spacing w:before="0" w:after="20" w:line="252" w:lineRule="auto"/>
              <w:jc w:val="center"/>
            </w:pPr>
            <w:r>
              <w:rPr>
                <w:rFonts w:ascii="Calibri" w:hAnsi="Calibri"/>
                <w:b w:val="0"/>
                <w:i w:val="0"/>
                <w:color w:val="102238"/>
                <w:sz w:val="15"/>
              </w:rPr>
              <w:t>All</w:t>
            </w:r>
          </w:p>
        </w:tc>
      </w:tr>
      <w:tr>
        <w:tc>
          <w:tcPr>
            <w:tcW w:type="dxa" w:w="180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Requests</w:t>
            </w:r>
          </w:p>
        </w:tc>
        <w:tc>
          <w:tcPr>
            <w:tcW w:type="dxa" w:w="178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Member organisations only</w:t>
            </w:r>
          </w:p>
        </w:tc>
        <w:tc>
          <w:tcPr>
            <w:tcW w:type="dxa" w:w="178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Assigned requests only</w:t>
            </w:r>
          </w:p>
        </w:tc>
        <w:tc>
          <w:tcPr>
            <w:tcW w:type="dxa" w:w="145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Managed services/clients</w:t>
            </w:r>
          </w:p>
        </w:tc>
        <w:tc>
          <w:tcPr>
            <w:tcW w:type="dxa" w:w="125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Billing context, limited messages</w:t>
            </w:r>
          </w:p>
        </w:tc>
        <w:tc>
          <w:tcPr>
            <w:tcW w:type="dxa" w:w="1300"/>
            <w:tcMar>
              <w:top w:w="80" w:type="dxa"/>
              <w:start w:w="120" w:type="dxa"/>
              <w:bottom w:w="80" w:type="dxa"/>
              <w:end w:w="120" w:type="dxa"/>
            </w:tcMar>
            <w:vAlign w:val="center"/>
          </w:tcPr>
          <w:p>
            <w:pPr>
              <w:spacing w:before="0" w:after="20" w:line="252" w:lineRule="auto"/>
              <w:jc w:val="center"/>
            </w:pPr>
            <w:r>
              <w:rPr>
                <w:rFonts w:ascii="Calibri" w:hAnsi="Calibri"/>
                <w:b w:val="0"/>
                <w:i w:val="0"/>
                <w:color w:val="102238"/>
                <w:sz w:val="15"/>
              </w:rPr>
              <w:t>All</w:t>
            </w:r>
          </w:p>
        </w:tc>
      </w:tr>
      <w:tr>
        <w:tc>
          <w:tcPr>
            <w:tcW w:type="dxa" w:w="180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Internal notes</w:t>
            </w:r>
          </w:p>
        </w:tc>
        <w:tc>
          <w:tcPr>
            <w:tcW w:type="dxa" w:w="1780"/>
            <w:tcMar>
              <w:top w:w="80" w:type="dxa"/>
              <w:start w:w="120" w:type="dxa"/>
              <w:bottom w:w="80" w:type="dxa"/>
              <w:end w:w="120" w:type="dxa"/>
            </w:tcMar>
            <w:vAlign w:val="center"/>
          </w:tcPr>
          <w:p>
            <w:pPr>
              <w:spacing w:before="0" w:after="20" w:line="252" w:lineRule="auto"/>
              <w:jc w:val="center"/>
            </w:pPr>
            <w:r>
              <w:rPr>
                <w:rFonts w:ascii="Calibri" w:hAnsi="Calibri"/>
                <w:b w:val="0"/>
                <w:i w:val="0"/>
                <w:color w:val="102238"/>
                <w:sz w:val="15"/>
              </w:rPr>
              <w:t>Never</w:t>
            </w:r>
          </w:p>
        </w:tc>
        <w:tc>
          <w:tcPr>
            <w:tcW w:type="dxa" w:w="178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Only if explicitly Trainit-internal and policy permits</w:t>
            </w:r>
          </w:p>
        </w:tc>
        <w:tc>
          <w:tcPr>
            <w:tcW w:type="dxa" w:w="1450"/>
            <w:tcMar>
              <w:top w:w="80" w:type="dxa"/>
              <w:start w:w="120" w:type="dxa"/>
              <w:bottom w:w="80" w:type="dxa"/>
              <w:end w:w="120" w:type="dxa"/>
            </w:tcMar>
            <w:vAlign w:val="center"/>
          </w:tcPr>
          <w:p>
            <w:pPr>
              <w:spacing w:before="0" w:after="20" w:line="252" w:lineRule="auto"/>
              <w:jc w:val="center"/>
            </w:pPr>
            <w:r>
              <w:rPr>
                <w:rFonts w:ascii="Calibri" w:hAnsi="Calibri"/>
                <w:b w:val="0"/>
                <w:i w:val="0"/>
                <w:color w:val="102238"/>
                <w:sz w:val="15"/>
              </w:rPr>
              <w:t>Yes</w:t>
            </w:r>
          </w:p>
        </w:tc>
        <w:tc>
          <w:tcPr>
            <w:tcW w:type="dxa" w:w="125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Only billing-relevant notes</w:t>
            </w:r>
          </w:p>
        </w:tc>
        <w:tc>
          <w:tcPr>
            <w:tcW w:type="dxa" w:w="1300"/>
            <w:tcMar>
              <w:top w:w="80" w:type="dxa"/>
              <w:start w:w="120" w:type="dxa"/>
              <w:bottom w:w="80" w:type="dxa"/>
              <w:end w:w="120" w:type="dxa"/>
            </w:tcMar>
            <w:vAlign w:val="center"/>
          </w:tcPr>
          <w:p>
            <w:pPr>
              <w:spacing w:before="0" w:after="20" w:line="252" w:lineRule="auto"/>
              <w:jc w:val="center"/>
            </w:pPr>
            <w:r>
              <w:rPr>
                <w:rFonts w:ascii="Calibri" w:hAnsi="Calibri"/>
                <w:b w:val="0"/>
                <w:i w:val="0"/>
                <w:color w:val="102238"/>
                <w:sz w:val="15"/>
              </w:rPr>
              <w:t>Yes</w:t>
            </w:r>
          </w:p>
        </w:tc>
      </w:tr>
      <w:tr>
        <w:tc>
          <w:tcPr>
            <w:tcW w:type="dxa" w:w="180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Time</w:t>
            </w:r>
          </w:p>
        </w:tc>
        <w:tc>
          <w:tcPr>
            <w:tcW w:type="dxa" w:w="178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Approved summary if contract permits</w:t>
            </w:r>
          </w:p>
        </w:tc>
        <w:tc>
          <w:tcPr>
            <w:tcW w:type="dxa" w:w="1780"/>
            <w:tcMar>
              <w:top w:w="80" w:type="dxa"/>
              <w:start w:w="120" w:type="dxa"/>
              <w:bottom w:w="80" w:type="dxa"/>
              <w:end w:w="120" w:type="dxa"/>
            </w:tcMar>
            <w:vAlign w:val="center"/>
          </w:tcPr>
          <w:p>
            <w:pPr>
              <w:spacing w:before="0" w:after="20" w:line="252" w:lineRule="auto"/>
              <w:jc w:val="center"/>
            </w:pPr>
            <w:r>
              <w:rPr>
                <w:rFonts w:ascii="Calibri" w:hAnsi="Calibri"/>
                <w:b w:val="0"/>
                <w:i w:val="0"/>
                <w:color w:val="102238"/>
                <w:sz w:val="15"/>
              </w:rPr>
              <w:t>Own entries</w:t>
            </w:r>
          </w:p>
        </w:tc>
        <w:tc>
          <w:tcPr>
            <w:tcW w:type="dxa" w:w="145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Review/approve scope</w:t>
            </w:r>
          </w:p>
        </w:tc>
        <w:tc>
          <w:tcPr>
            <w:tcW w:type="dxa" w:w="125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Approved/locked usage</w:t>
            </w:r>
          </w:p>
        </w:tc>
        <w:tc>
          <w:tcPr>
            <w:tcW w:type="dxa" w:w="1300"/>
            <w:tcMar>
              <w:top w:w="80" w:type="dxa"/>
              <w:start w:w="120" w:type="dxa"/>
              <w:bottom w:w="80" w:type="dxa"/>
              <w:end w:w="120" w:type="dxa"/>
            </w:tcMar>
            <w:vAlign w:val="center"/>
          </w:tcPr>
          <w:p>
            <w:pPr>
              <w:spacing w:before="0" w:after="20" w:line="252" w:lineRule="auto"/>
              <w:jc w:val="center"/>
            </w:pPr>
            <w:r>
              <w:rPr>
                <w:rFonts w:ascii="Calibri" w:hAnsi="Calibri"/>
                <w:b w:val="0"/>
                <w:i w:val="0"/>
                <w:color w:val="102238"/>
                <w:sz w:val="15"/>
              </w:rPr>
              <w:t>All</w:t>
            </w:r>
          </w:p>
        </w:tc>
      </w:tr>
      <w:tr>
        <w:tc>
          <w:tcPr>
            <w:tcW w:type="dxa" w:w="180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Invoices/payments</w:t>
            </w:r>
          </w:p>
        </w:tc>
        <w:tc>
          <w:tcPr>
            <w:tcW w:type="dxa" w:w="178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Organisation billing permission</w:t>
            </w:r>
          </w:p>
        </w:tc>
        <w:tc>
          <w:tcPr>
            <w:tcW w:type="dxa" w:w="178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Own earning summary only if later added</w:t>
            </w:r>
          </w:p>
        </w:tc>
        <w:tc>
          <w:tcPr>
            <w:tcW w:type="dxa" w:w="1450"/>
            <w:tcMar>
              <w:top w:w="80" w:type="dxa"/>
              <w:start w:w="120" w:type="dxa"/>
              <w:bottom w:w="80" w:type="dxa"/>
              <w:end w:w="120" w:type="dxa"/>
            </w:tcMar>
            <w:vAlign w:val="center"/>
          </w:tcPr>
          <w:p>
            <w:pPr>
              <w:spacing w:before="0" w:after="20" w:line="252" w:lineRule="auto"/>
              <w:jc w:val="center"/>
            </w:pPr>
            <w:r>
              <w:rPr>
                <w:rFonts w:ascii="Calibri" w:hAnsi="Calibri"/>
                <w:b w:val="0"/>
                <w:i w:val="0"/>
                <w:color w:val="102238"/>
                <w:sz w:val="15"/>
              </w:rPr>
              <w:t>Read by policy</w:t>
            </w:r>
          </w:p>
        </w:tc>
        <w:tc>
          <w:tcPr>
            <w:tcW w:type="dxa" w:w="125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Create/record/reconcile</w:t>
            </w:r>
          </w:p>
        </w:tc>
        <w:tc>
          <w:tcPr>
            <w:tcW w:type="dxa" w:w="1300"/>
            <w:tcMar>
              <w:top w:w="80" w:type="dxa"/>
              <w:start w:w="120" w:type="dxa"/>
              <w:bottom w:w="80" w:type="dxa"/>
              <w:end w:w="120" w:type="dxa"/>
            </w:tcMar>
            <w:vAlign w:val="center"/>
          </w:tcPr>
          <w:p>
            <w:pPr>
              <w:spacing w:before="0" w:after="20" w:line="252" w:lineRule="auto"/>
              <w:jc w:val="center"/>
            </w:pPr>
            <w:r>
              <w:rPr>
                <w:rFonts w:ascii="Calibri" w:hAnsi="Calibri"/>
                <w:b w:val="0"/>
                <w:i w:val="0"/>
                <w:color w:val="102238"/>
                <w:sz w:val="15"/>
              </w:rPr>
              <w:t>All</w:t>
            </w:r>
          </w:p>
        </w:tc>
      </w:tr>
      <w:tr>
        <w:tc>
          <w:tcPr>
            <w:tcW w:type="dxa" w:w="1800"/>
            <w:tcMar>
              <w:top w:w="80" w:type="dxa"/>
              <w:start w:w="120" w:type="dxa"/>
              <w:bottom w:w="80" w:type="dxa"/>
              <w:end w:w="120" w:type="dxa"/>
            </w:tcMar>
            <w:vAlign w:val="center"/>
          </w:tcPr>
          <w:p>
            <w:pPr>
              <w:spacing w:before="0" w:after="20" w:line="252" w:lineRule="auto"/>
            </w:pPr>
            <w:r>
              <w:rPr>
                <w:rFonts w:ascii="Calibri" w:hAnsi="Calibri"/>
                <w:b w:val="0"/>
                <w:i w:val="0"/>
                <w:color w:val="102238"/>
                <w:sz w:val="15"/>
              </w:rPr>
              <w:t>Vetting evidence</w:t>
            </w:r>
          </w:p>
        </w:tc>
        <w:tc>
          <w:tcPr>
            <w:tcW w:type="dxa" w:w="1780"/>
            <w:tcMar>
              <w:top w:w="80" w:type="dxa"/>
              <w:start w:w="120" w:type="dxa"/>
              <w:bottom w:w="80" w:type="dxa"/>
              <w:end w:w="120" w:type="dxa"/>
            </w:tcMar>
            <w:vAlign w:val="center"/>
          </w:tcPr>
          <w:p>
            <w:pPr>
              <w:spacing w:before="0" w:after="20" w:line="252" w:lineRule="auto"/>
              <w:jc w:val="center"/>
            </w:pPr>
            <w:r>
              <w:rPr>
                <w:rFonts w:ascii="Calibri" w:hAnsi="Calibri"/>
                <w:b w:val="0"/>
                <w:i w:val="0"/>
                <w:color w:val="102238"/>
                <w:sz w:val="15"/>
              </w:rPr>
              <w:t>Own submission</w:t>
            </w:r>
          </w:p>
        </w:tc>
        <w:tc>
          <w:tcPr>
            <w:tcW w:type="dxa" w:w="1780"/>
            <w:tcMar>
              <w:top w:w="80" w:type="dxa"/>
              <w:start w:w="120" w:type="dxa"/>
              <w:bottom w:w="80" w:type="dxa"/>
              <w:end w:w="120" w:type="dxa"/>
            </w:tcMar>
            <w:vAlign w:val="center"/>
          </w:tcPr>
          <w:p>
            <w:pPr>
              <w:spacing w:before="0" w:after="20" w:line="252" w:lineRule="auto"/>
              <w:jc w:val="center"/>
            </w:pPr>
            <w:r>
              <w:rPr>
                <w:rFonts w:ascii="Calibri" w:hAnsi="Calibri"/>
                <w:b w:val="0"/>
                <w:i w:val="0"/>
                <w:color w:val="102238"/>
                <w:sz w:val="15"/>
              </w:rPr>
              <w:t>Own submission</w:t>
            </w:r>
          </w:p>
        </w:tc>
        <w:tc>
          <w:tcPr>
            <w:tcW w:type="dxa" w:w="1450"/>
            <w:tcMar>
              <w:top w:w="80" w:type="dxa"/>
              <w:start w:w="120" w:type="dxa"/>
              <w:bottom w:w="80" w:type="dxa"/>
              <w:end w:w="120" w:type="dxa"/>
            </w:tcMar>
            <w:vAlign w:val="center"/>
          </w:tcPr>
          <w:p>
            <w:pPr>
              <w:spacing w:before="0" w:after="20" w:line="252" w:lineRule="auto"/>
              <w:jc w:val="center"/>
            </w:pPr>
            <w:r>
              <w:rPr>
                <w:rFonts w:ascii="Calibri" w:hAnsi="Calibri"/>
                <w:b w:val="0"/>
                <w:i w:val="0"/>
                <w:color w:val="102238"/>
                <w:sz w:val="15"/>
              </w:rPr>
              <w:t>Vetting role only</w:t>
            </w:r>
          </w:p>
        </w:tc>
        <w:tc>
          <w:tcPr>
            <w:tcW w:type="dxa" w:w="1250"/>
            <w:tcMar>
              <w:top w:w="80" w:type="dxa"/>
              <w:start w:w="120" w:type="dxa"/>
              <w:bottom w:w="80" w:type="dxa"/>
              <w:end w:w="120" w:type="dxa"/>
            </w:tcMar>
            <w:vAlign w:val="center"/>
          </w:tcPr>
          <w:p>
            <w:pPr>
              <w:spacing w:before="0" w:after="20" w:line="252" w:lineRule="auto"/>
              <w:jc w:val="center"/>
            </w:pPr>
            <w:r>
              <w:rPr>
                <w:rFonts w:ascii="Calibri" w:hAnsi="Calibri"/>
                <w:b w:val="0"/>
                <w:i w:val="0"/>
                <w:color w:val="102238"/>
                <w:sz w:val="15"/>
              </w:rPr>
              <w:t>Never</w:t>
            </w:r>
          </w:p>
        </w:tc>
        <w:tc>
          <w:tcPr>
            <w:tcW w:type="dxa" w:w="1300"/>
            <w:tcMar>
              <w:top w:w="80" w:type="dxa"/>
              <w:start w:w="120" w:type="dxa"/>
              <w:bottom w:w="80" w:type="dxa"/>
              <w:end w:w="120" w:type="dxa"/>
            </w:tcMar>
            <w:vAlign w:val="center"/>
          </w:tcPr>
          <w:p>
            <w:pPr>
              <w:spacing w:before="0" w:after="20" w:line="252" w:lineRule="auto"/>
              <w:jc w:val="center"/>
            </w:pPr>
            <w:r>
              <w:rPr>
                <w:rFonts w:ascii="Calibri" w:hAnsi="Calibri"/>
                <w:b w:val="0"/>
                <w:i w:val="0"/>
                <w:color w:val="102238"/>
                <w:sz w:val="15"/>
              </w:rPr>
              <w:t>Restricted admin</w:t>
            </w:r>
          </w:p>
        </w:tc>
      </w:tr>
    </w:tbl>
    <w:p>
      <w:pPr>
        <w:spacing w:after="20"/>
      </w:pPr>
    </w:p>
    <w:p>
      <w:pPr>
        <w:numPr>
          <w:ilvl w:val="0"/>
          <w:numId w:val="10"/>
        </w:numPr>
      </w:pPr>
      <w:r>
        <w:rPr>
          <w:rFonts w:ascii="Calibri" w:hAnsi="Calibri"/>
          <w:b w:val="0"/>
          <w:i w:val="0"/>
          <w:color w:val="102238"/>
          <w:sz w:val="22"/>
        </w:rPr>
        <w:t>Keep ViewAccess declarations in each generated view group's header and enforce them for page and POST/AJAX routes.</w:t>
      </w:r>
    </w:p>
    <w:p>
      <w:pPr>
        <w:numPr>
          <w:ilvl w:val="0"/>
          <w:numId w:val="10"/>
        </w:numPr>
      </w:pPr>
      <w:r>
        <w:rPr>
          <w:rFonts w:ascii="Calibri" w:hAnsi="Calibri"/>
          <w:b w:val="0"/>
          <w:i w:val="0"/>
          <w:color w:val="102238"/>
          <w:sz w:val="22"/>
        </w:rPr>
        <w:t>Add Policy classes or equivalent guards such as canViewRequest(user, request) and canApproveTime(user, entry).</w:t>
      </w:r>
    </w:p>
    <w:p>
      <w:pPr>
        <w:numPr>
          <w:ilvl w:val="0"/>
          <w:numId w:val="10"/>
        </w:numPr>
      </w:pPr>
      <w:r>
        <w:rPr>
          <w:rFonts w:ascii="Calibri" w:hAnsi="Calibri"/>
          <w:b w:val="0"/>
          <w:i w:val="0"/>
          <w:color w:val="102238"/>
          <w:sz w:val="22"/>
        </w:rPr>
        <w:t>Scope every query before pagination; never fetch all then filter in the view.</w:t>
      </w:r>
    </w:p>
    <w:p>
      <w:pPr>
        <w:numPr>
          <w:ilvl w:val="0"/>
          <w:numId w:val="10"/>
        </w:numPr>
      </w:pPr>
      <w:r>
        <w:rPr>
          <w:rFonts w:ascii="Calibri" w:hAnsi="Calibri"/>
          <w:b w:val="0"/>
          <w:i w:val="0"/>
          <w:color w:val="102238"/>
          <w:sz w:val="22"/>
        </w:rPr>
        <w:t>Use unguessable signed download tokens or authenticated controller streaming for private files; never expose storage paths directly.</w:t>
      </w:r>
    </w:p>
    <w:p>
      <w:pPr>
        <w:numPr>
          <w:ilvl w:val="0"/>
          <w:numId w:val="10"/>
        </w:numPr>
      </w:pPr>
      <w:r>
        <w:rPr>
          <w:rFonts w:ascii="Calibri" w:hAnsi="Calibri"/>
          <w:b w:val="0"/>
          <w:i w:val="0"/>
          <w:color w:val="102238"/>
          <w:sz w:val="22"/>
        </w:rPr>
        <w:t>Log denied privileged actions without logging message bodies, passwords or sensitive document contents.</w:t>
      </w:r>
    </w:p>
    <w:p>
      <w:pPr>
        <w:pStyle w:val="Heading1"/>
      </w:pPr>
      <w:r>
        <w:t>6. Core workflows and state machines</w:t>
      </w:r>
    </w:p>
    <w:p>
      <w:pPr>
        <w:pStyle w:val="Heading2"/>
      </w:pPr>
      <w:r>
        <w:t>6.1 Special account application</w:t>
      </w:r>
    </w:p>
    <w:p>
      <w:pPr>
        <w:spacing w:before="0" w:after="0"/>
        <w:ind w:left="259" w:right="115"/>
        <w:shd w:fill="F2F4F7"/>
      </w:pPr>
      <w:r>
        <w:rPr>
          <w:rFonts w:ascii="Courier New" w:hAnsi="Courier New"/>
          <w:b w:val="0"/>
          <w:i w:val="0"/>
          <w:color w:val="102238"/>
          <w:sz w:val="16"/>
        </w:rPr>
        <w:t>DRAFT -&gt; SUBMITTED -&gt; UNDER_REVIEW -&gt; CHANGES_REQUESTED -&gt; RESUBMITTED</w:t>
      </w:r>
    </w:p>
    <w:p>
      <w:pPr>
        <w:spacing w:before="0" w:after="0"/>
        <w:ind w:left="259" w:right="115"/>
        <w:shd w:fill="F2F4F7"/>
      </w:pPr>
      <w:r>
        <w:rPr>
          <w:rFonts w:ascii="Courier New" w:hAnsi="Courier New"/>
          <w:b w:val="0"/>
          <w:i w:val="0"/>
          <w:color w:val="102238"/>
          <w:sz w:val="16"/>
        </w:rPr>
        <w:t>UNDER_REVIEW -&gt; APPROVED -&gt; ACTIVE PROFILE/ORGANISATION</w:t>
      </w:r>
    </w:p>
    <w:p>
      <w:pPr>
        <w:spacing w:before="0" w:after="0"/>
        <w:ind w:left="259" w:right="115"/>
        <w:shd w:fill="F2F4F7"/>
      </w:pPr>
      <w:r>
        <w:rPr>
          <w:rFonts w:ascii="Courier New" w:hAnsi="Courier New"/>
          <w:b w:val="0"/>
          <w:i w:val="0"/>
          <w:color w:val="102238"/>
          <w:sz w:val="16"/>
        </w:rPr>
        <w:t>UNDER_REVIEW -&gt; REJECTED</w:t>
      </w:r>
    </w:p>
    <w:p>
      <w:pPr>
        <w:spacing w:before="0" w:after="0"/>
        <w:ind w:left="259" w:right="115"/>
        <w:shd w:fill="F2F4F7"/>
      </w:pPr>
      <w:r>
        <w:rPr>
          <w:rFonts w:ascii="Courier New" w:hAnsi="Courier New"/>
          <w:b w:val="0"/>
          <w:i w:val="0"/>
          <w:color w:val="102238"/>
          <w:sz w:val="16"/>
        </w:rPr>
        <w:t>ACTIVE -&gt; SUSPENDED -&gt; REINSTATED or EXPIRED</w:t>
      </w:r>
    </w:p>
    <w:p>
      <w:pPr>
        <w:pStyle w:val="Heading2"/>
      </w:pPr>
      <w:r>
        <w:t>6.2 Service request</w:t>
      </w:r>
    </w:p>
    <w:p>
      <w:pPr>
        <w:spacing w:before="0" w:after="0"/>
        <w:ind w:left="259" w:right="115"/>
        <w:shd w:fill="F2F4F7"/>
      </w:pPr>
      <w:r>
        <w:rPr>
          <w:rFonts w:ascii="Courier New" w:hAnsi="Courier New"/>
          <w:b w:val="0"/>
          <w:i w:val="0"/>
          <w:color w:val="102238"/>
          <w:sz w:val="16"/>
        </w:rPr>
        <w:t>NEW -&gt; TRIAGE -&gt; AWAITING_CLIENT / READY_TO_ASSIGN</w:t>
      </w:r>
    </w:p>
    <w:p>
      <w:pPr>
        <w:spacing w:before="0" w:after="0"/>
        <w:ind w:left="259" w:right="115"/>
        <w:shd w:fill="F2F4F7"/>
      </w:pPr>
      <w:r>
        <w:rPr>
          <w:rFonts w:ascii="Courier New" w:hAnsi="Courier New"/>
          <w:b w:val="0"/>
          <w:i w:val="0"/>
          <w:color w:val="102238"/>
          <w:sz w:val="16"/>
        </w:rPr>
        <w:t>READY_TO_ASSIGN -&gt; ASSIGNED -&gt; ACCEPTED -&gt; IN_PROGRESS</w:t>
      </w:r>
    </w:p>
    <w:p>
      <w:pPr>
        <w:spacing w:before="0" w:after="0"/>
        <w:ind w:left="259" w:right="115"/>
        <w:shd w:fill="F2F4F7"/>
      </w:pPr>
      <w:r>
        <w:rPr>
          <w:rFonts w:ascii="Courier New" w:hAnsi="Courier New"/>
          <w:b w:val="0"/>
          <w:i w:val="0"/>
          <w:color w:val="102238"/>
          <w:sz w:val="16"/>
        </w:rPr>
        <w:t>IN_PROGRESS -&gt; AWAITING_CLIENT / QUALITY_REVIEW -&gt; COMPLETED</w:t>
      </w:r>
    </w:p>
    <w:p>
      <w:pPr>
        <w:spacing w:before="0" w:after="0"/>
        <w:ind w:left="259" w:right="115"/>
        <w:shd w:fill="F2F4F7"/>
      </w:pPr>
      <w:r>
        <w:rPr>
          <w:rFonts w:ascii="Courier New" w:hAnsi="Courier New"/>
          <w:b w:val="0"/>
          <w:i w:val="0"/>
          <w:color w:val="102238"/>
          <w:sz w:val="16"/>
        </w:rPr>
        <w:t>COMPLETED -&gt; CLOSED</w:t>
      </w:r>
    </w:p>
    <w:p>
      <w:pPr>
        <w:spacing w:before="0" w:after="0"/>
        <w:ind w:left="259" w:right="115"/>
        <w:shd w:fill="F2F4F7"/>
      </w:pPr>
      <w:r>
        <w:rPr>
          <w:rFonts w:ascii="Courier New" w:hAnsi="Courier New"/>
          <w:b w:val="0"/>
          <w:i w:val="0"/>
          <w:color w:val="102238"/>
          <w:sz w:val="16"/>
        </w:rPr>
        <w:t>Any permitted active state -&gt; CANCELLED; every transition creates history and notifications</w:t>
      </w:r>
    </w:p>
    <w:p>
      <w:pPr>
        <w:pStyle w:val="Heading2"/>
      </w:pPr>
      <w:r>
        <w:t>6.3 Time entry</w:t>
      </w:r>
    </w:p>
    <w:p>
      <w:pPr>
        <w:spacing w:before="0" w:after="0"/>
        <w:ind w:left="259" w:right="115"/>
        <w:shd w:fill="F2F4F7"/>
      </w:pPr>
      <w:r>
        <w:rPr>
          <w:rFonts w:ascii="Courier New" w:hAnsi="Courier New"/>
          <w:b w:val="0"/>
          <w:i w:val="0"/>
          <w:color w:val="102238"/>
          <w:sz w:val="16"/>
        </w:rPr>
        <w:t>DRAFT -&gt; SUBMITTED -&gt; APPROVED -&gt; LOCKED -&gt; INVOICED</w:t>
      </w:r>
    </w:p>
    <w:p>
      <w:pPr>
        <w:spacing w:before="0" w:after="0"/>
        <w:ind w:left="259" w:right="115"/>
        <w:shd w:fill="F2F4F7"/>
      </w:pPr>
      <w:r>
        <w:rPr>
          <w:rFonts w:ascii="Courier New" w:hAnsi="Courier New"/>
          <w:b w:val="0"/>
          <w:i w:val="0"/>
          <w:color w:val="102238"/>
          <w:sz w:val="16"/>
        </w:rPr>
        <w:t>SUBMITTED -&gt; REJECTED -&gt; DRAFT</w:t>
      </w:r>
    </w:p>
    <w:p>
      <w:pPr>
        <w:spacing w:before="0" w:after="0"/>
        <w:ind w:left="259" w:right="115"/>
        <w:shd w:fill="F2F4F7"/>
      </w:pPr>
      <w:r>
        <w:rPr>
          <w:rFonts w:ascii="Courier New" w:hAnsi="Courier New"/>
          <w:b w:val="0"/>
          <w:i w:val="0"/>
          <w:color w:val="102238"/>
          <w:sz w:val="16"/>
        </w:rPr>
        <w:t>APPROVED/LOCKED correction -&gt; ADJUSTMENT (original remains immutable)</w:t>
      </w:r>
    </w:p>
    <w:p>
      <w:pPr>
        <w:pStyle w:val="Heading2"/>
      </w:pPr>
      <w:r>
        <w:t>6.4 Invoice and payment</w:t>
      </w:r>
    </w:p>
    <w:p>
      <w:pPr>
        <w:spacing w:before="0" w:after="0"/>
        <w:ind w:left="259" w:right="115"/>
        <w:shd w:fill="F2F4F7"/>
      </w:pPr>
      <w:r>
        <w:rPr>
          <w:rFonts w:ascii="Courier New" w:hAnsi="Courier New"/>
          <w:b w:val="0"/>
          <w:i w:val="0"/>
          <w:color w:val="102238"/>
          <w:sz w:val="16"/>
        </w:rPr>
        <w:t>Billing period OPEN -&gt; CALCULATED -&gt; REVIEWED -&gt; CLOSED</w:t>
      </w:r>
    </w:p>
    <w:p>
      <w:pPr>
        <w:spacing w:before="0" w:after="0"/>
        <w:ind w:left="259" w:right="115"/>
        <w:shd w:fill="F2F4F7"/>
      </w:pPr>
      <w:r>
        <w:rPr>
          <w:rFonts w:ascii="Courier New" w:hAnsi="Courier New"/>
          <w:b w:val="0"/>
          <w:i w:val="0"/>
          <w:color w:val="102238"/>
          <w:sz w:val="16"/>
        </w:rPr>
        <w:t>Invoice DRAFT -&gt; APPROVED -&gt; ISSUED -&gt; PART_PAID -&gt; PAID</w:t>
      </w:r>
    </w:p>
    <w:p>
      <w:pPr>
        <w:spacing w:before="0" w:after="0"/>
        <w:ind w:left="259" w:right="115"/>
        <w:shd w:fill="F2F4F7"/>
      </w:pPr>
      <w:r>
        <w:rPr>
          <w:rFonts w:ascii="Courier New" w:hAnsi="Courier New"/>
          <w:b w:val="0"/>
          <w:i w:val="0"/>
          <w:color w:val="102238"/>
          <w:sz w:val="16"/>
        </w:rPr>
        <w:t>ISSUED -&gt; OVERDUE; disputed amounts remain visible</w:t>
      </w:r>
    </w:p>
    <w:p>
      <w:pPr>
        <w:spacing w:before="0" w:after="0"/>
        <w:ind w:left="259" w:right="115"/>
        <w:shd w:fill="F2F4F7"/>
      </w:pPr>
      <w:r>
        <w:rPr>
          <w:rFonts w:ascii="Courier New" w:hAnsi="Courier New"/>
          <w:b w:val="0"/>
          <w:i w:val="0"/>
          <w:color w:val="102238"/>
          <w:sz w:val="16"/>
        </w:rPr>
        <w:t>Payment RECORDED -&gt; VERIFIED; error -&gt; REVERSED with reason and authoriser</w:t>
      </w:r>
    </w:p>
    <w:p>
      <w:pPr>
        <w:pStyle w:val="Heading1"/>
      </w:pPr>
      <w:r>
        <w:t>7. Request-centred communication design</w:t>
      </w:r>
    </w:p>
    <w:p>
      <w:pPr>
        <w:numPr>
          <w:ilvl w:val="0"/>
          <w:numId w:val="10"/>
        </w:numPr>
      </w:pPr>
      <w:r>
        <w:rPr>
          <w:rFonts w:ascii="Calibri" w:hAnsi="Calibri"/>
          <w:b w:val="0"/>
          <w:i w:val="0"/>
          <w:color w:val="102238"/>
          <w:sz w:val="22"/>
        </w:rPr>
        <w:t>One chronological request timeline combines status changes, assignments, shared messages, file activity and billing milestones; filters separate message/system/time events.</w:t>
      </w:r>
    </w:p>
    <w:p>
      <w:pPr>
        <w:numPr>
          <w:ilvl w:val="0"/>
          <w:numId w:val="10"/>
        </w:numPr>
      </w:pPr>
      <w:r>
        <w:rPr>
          <w:rFonts w:ascii="Calibri" w:hAnsi="Calibri"/>
          <w:b w:val="0"/>
          <w:i w:val="0"/>
          <w:color w:val="102238"/>
          <w:sz w:val="22"/>
        </w:rPr>
        <w:t>Shared messages are visible to authorised client members and active assignees. Internal notes are visually distinct, default to Trainit-only, and cannot be converted to shared messages without explicit confirmation.</w:t>
      </w:r>
    </w:p>
    <w:p>
      <w:pPr>
        <w:numPr>
          <w:ilvl w:val="0"/>
          <w:numId w:val="10"/>
        </w:numPr>
      </w:pPr>
      <w:r>
        <w:rPr>
          <w:rFonts w:ascii="Calibri" w:hAnsi="Calibri"/>
          <w:b w:val="0"/>
          <w:i w:val="0"/>
          <w:color w:val="102238"/>
          <w:sz w:val="22"/>
        </w:rPr>
        <w:t>Attachments inherit the message/request visibility and are scanned, size-limited, versioned, access-checked and audited on download.</w:t>
      </w:r>
    </w:p>
    <w:p>
      <w:pPr>
        <w:numPr>
          <w:ilvl w:val="0"/>
          <w:numId w:val="10"/>
        </w:numPr>
      </w:pPr>
      <w:r>
        <w:rPr>
          <w:rFonts w:ascii="Calibri" w:hAnsi="Calibri"/>
          <w:b w:val="0"/>
          <w:i w:val="0"/>
          <w:color w:val="102238"/>
          <w:sz w:val="22"/>
        </w:rPr>
        <w:t>Mentions create recipient-specific notifications. Email contains a summary and secure portal link, avoiding sensitive full-message content by default.</w:t>
      </w:r>
    </w:p>
    <w:p>
      <w:pPr>
        <w:numPr>
          <w:ilvl w:val="0"/>
          <w:numId w:val="10"/>
        </w:numPr>
      </w:pPr>
      <w:r>
        <w:rPr>
          <w:rFonts w:ascii="Calibri" w:hAnsi="Calibri"/>
          <w:b w:val="0"/>
          <w:i w:val="0"/>
          <w:color w:val="102238"/>
          <w:sz w:val="22"/>
        </w:rPr>
        <w:t>Notification preferences support immediate, daily digest or muted optional events; security, assignment, invoice and payment events remain mandatory where policy requires.</w:t>
      </w:r>
    </w:p>
    <w:p>
      <w:pPr>
        <w:numPr>
          <w:ilvl w:val="0"/>
          <w:numId w:val="10"/>
        </w:numPr>
      </w:pPr>
      <w:r>
        <w:rPr>
          <w:rFonts w:ascii="Calibri" w:hAnsi="Calibri"/>
          <w:b w:val="0"/>
          <w:i w:val="0"/>
          <w:color w:val="102238"/>
          <w:sz w:val="22"/>
        </w:rPr>
        <w:t>A persistent notification centre supports unread, action-required, due soon and failed-delivery filters; operational dashboards show queues, not just counts.</w:t>
      </w:r>
    </w:p>
    <w:p>
      <w:pPr>
        <w:pStyle w:val="Heading1"/>
      </w:pPr>
      <w:r>
        <w:t>8. UX and visual integration</w:t>
      </w:r>
    </w:p>
    <w:tbl>
      <w:tblPr>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E8EEF5"/>
            <w:tcMar>
              <w:top w:w="80" w:type="dxa"/>
              <w:start w:w="120" w:type="dxa"/>
              <w:bottom w:w="80" w:type="dxa"/>
              <w:end w:w="120" w:type="dxa"/>
            </w:tcMar>
            <w:vAlign w:val="center"/>
          </w:tcPr>
          <w:p>
            <w:pPr>
              <w:spacing w:before="0" w:after="20" w:line="252" w:lineRule="auto"/>
            </w:pPr>
            <w:r>
              <w:rPr>
                <w:rFonts w:ascii="Calibri" w:hAnsi="Calibri"/>
                <w:b/>
                <w:i w:val="0"/>
                <w:color w:val="102238"/>
                <w:sz w:val="17"/>
              </w:rPr>
              <w:t>Existing Trainit pattern</w:t>
            </w:r>
          </w:p>
        </w:tc>
        <w:tc>
          <w:tcPr>
            <w:tcW w:type="dxa" w:w="6260"/>
            <w:shd w:fill="E8EEF5"/>
            <w:tcMar>
              <w:top w:w="80" w:type="dxa"/>
              <w:start w:w="120" w:type="dxa"/>
              <w:bottom w:w="80" w:type="dxa"/>
              <w:end w:w="120" w:type="dxa"/>
            </w:tcMar>
            <w:vAlign w:val="center"/>
          </w:tcPr>
          <w:p>
            <w:pPr>
              <w:spacing w:before="0" w:after="20" w:line="252" w:lineRule="auto"/>
            </w:pPr>
            <w:r>
              <w:rPr>
                <w:rFonts w:ascii="Calibri" w:hAnsi="Calibri"/>
                <w:b/>
                <w:i w:val="0"/>
                <w:color w:val="102238"/>
                <w:sz w:val="17"/>
              </w:rPr>
              <w:t>Portal translation</w:t>
            </w:r>
          </w:p>
        </w:tc>
      </w:tr>
      <w:tr>
        <w:tc>
          <w:tcPr>
            <w:tcW w:type="dxa" w:w="3100"/>
            <w:tcMar>
              <w:top w:w="80" w:type="dxa"/>
              <w:start w:w="120" w:type="dxa"/>
              <w:bottom w:w="80" w:type="dxa"/>
              <w:end w:w="120" w:type="dxa"/>
            </w:tcMar>
            <w:vAlign w:val="center"/>
          </w:tcPr>
          <w:p>
            <w:pPr>
              <w:spacing w:before="0" w:after="20" w:line="252" w:lineRule="auto"/>
            </w:pPr>
            <w:r>
              <w:rPr>
                <w:rFonts w:ascii="Calibri" w:hAnsi="Calibri"/>
                <w:b w:val="0"/>
                <w:i w:val="0"/>
                <w:color w:val="102238"/>
                <w:sz w:val="17"/>
              </w:rPr>
              <w:t>Ink #102238 and dark footer</w:t>
            </w:r>
          </w:p>
        </w:tc>
        <w:tc>
          <w:tcPr>
            <w:tcW w:type="dxa" w:w="6260"/>
            <w:tcMar>
              <w:top w:w="80" w:type="dxa"/>
              <w:start w:w="120" w:type="dxa"/>
              <w:bottom w:w="80" w:type="dxa"/>
              <w:end w:w="120" w:type="dxa"/>
            </w:tcMar>
            <w:vAlign w:val="center"/>
          </w:tcPr>
          <w:p>
            <w:pPr>
              <w:spacing w:before="0" w:after="20" w:line="252" w:lineRule="auto"/>
            </w:pPr>
            <w:r>
              <w:rPr>
                <w:rFonts w:ascii="Calibri" w:hAnsi="Calibri"/>
                <w:b w:val="0"/>
                <w:i w:val="0"/>
                <w:color w:val="102238"/>
                <w:sz w:val="17"/>
              </w:rPr>
              <w:t>Primary application shell, headings and high-contrast navigation.</w:t>
            </w:r>
          </w:p>
        </w:tc>
      </w:tr>
      <w:tr>
        <w:tc>
          <w:tcPr>
            <w:tcW w:type="dxa" w:w="3100"/>
            <w:tcMar>
              <w:top w:w="80" w:type="dxa"/>
              <w:start w:w="120" w:type="dxa"/>
              <w:bottom w:w="80" w:type="dxa"/>
              <w:end w:w="120" w:type="dxa"/>
            </w:tcMar>
            <w:vAlign w:val="center"/>
          </w:tcPr>
          <w:p>
            <w:pPr>
              <w:spacing w:before="0" w:after="20" w:line="252" w:lineRule="auto"/>
            </w:pPr>
            <w:r>
              <w:rPr>
                <w:rFonts w:ascii="Calibri" w:hAnsi="Calibri"/>
                <w:b w:val="0"/>
                <w:i w:val="0"/>
                <w:color w:val="102238"/>
                <w:sz w:val="17"/>
              </w:rPr>
              <w:t>Blue #176BD6</w:t>
            </w:r>
          </w:p>
        </w:tc>
        <w:tc>
          <w:tcPr>
            <w:tcW w:type="dxa" w:w="6260"/>
            <w:tcMar>
              <w:top w:w="80" w:type="dxa"/>
              <w:start w:w="120" w:type="dxa"/>
              <w:bottom w:w="80" w:type="dxa"/>
              <w:end w:w="120" w:type="dxa"/>
            </w:tcMar>
            <w:vAlign w:val="center"/>
          </w:tcPr>
          <w:p>
            <w:pPr>
              <w:spacing w:before="0" w:after="20" w:line="252" w:lineRule="auto"/>
            </w:pPr>
            <w:r>
              <w:rPr>
                <w:rFonts w:ascii="Calibri" w:hAnsi="Calibri"/>
                <w:b w:val="0"/>
                <w:i w:val="0"/>
                <w:color w:val="102238"/>
                <w:sz w:val="17"/>
              </w:rPr>
              <w:t>Primary actions, active navigation, links and selected filters.</w:t>
            </w:r>
          </w:p>
        </w:tc>
      </w:tr>
      <w:tr>
        <w:tc>
          <w:tcPr>
            <w:tcW w:type="dxa" w:w="3100"/>
            <w:tcMar>
              <w:top w:w="80" w:type="dxa"/>
              <w:start w:w="120" w:type="dxa"/>
              <w:bottom w:w="80" w:type="dxa"/>
              <w:end w:w="120" w:type="dxa"/>
            </w:tcMar>
            <w:vAlign w:val="center"/>
          </w:tcPr>
          <w:p>
            <w:pPr>
              <w:spacing w:before="0" w:after="20" w:line="252" w:lineRule="auto"/>
            </w:pPr>
            <w:r>
              <w:rPr>
                <w:rFonts w:ascii="Calibri" w:hAnsi="Calibri"/>
                <w:b w:val="0"/>
                <w:i w:val="0"/>
                <w:color w:val="102238"/>
                <w:sz w:val="17"/>
              </w:rPr>
              <w:t>Teal #0C8F86</w:t>
            </w:r>
          </w:p>
        </w:tc>
        <w:tc>
          <w:tcPr>
            <w:tcW w:type="dxa" w:w="6260"/>
            <w:tcMar>
              <w:top w:w="80" w:type="dxa"/>
              <w:start w:w="120" w:type="dxa"/>
              <w:bottom w:w="80" w:type="dxa"/>
              <w:end w:w="120" w:type="dxa"/>
            </w:tcMar>
            <w:vAlign w:val="center"/>
          </w:tcPr>
          <w:p>
            <w:pPr>
              <w:spacing w:before="0" w:after="20" w:line="252" w:lineRule="auto"/>
            </w:pPr>
            <w:r>
              <w:rPr>
                <w:rFonts w:ascii="Calibri" w:hAnsi="Calibri"/>
                <w:b w:val="0"/>
                <w:i w:val="0"/>
                <w:color w:val="102238"/>
                <w:sz w:val="17"/>
              </w:rPr>
              <w:t>Positive/progress states, service accents and non-financial confirmations.</w:t>
            </w:r>
          </w:p>
        </w:tc>
      </w:tr>
      <w:tr>
        <w:tc>
          <w:tcPr>
            <w:tcW w:type="dxa" w:w="3100"/>
            <w:tcMar>
              <w:top w:w="80" w:type="dxa"/>
              <w:start w:w="120" w:type="dxa"/>
              <w:bottom w:w="80" w:type="dxa"/>
              <w:end w:w="120" w:type="dxa"/>
            </w:tcMar>
            <w:vAlign w:val="center"/>
          </w:tcPr>
          <w:p>
            <w:pPr>
              <w:spacing w:before="0" w:after="20" w:line="252" w:lineRule="auto"/>
            </w:pPr>
            <w:r>
              <w:rPr>
                <w:rFonts w:ascii="Calibri" w:hAnsi="Calibri"/>
                <w:b w:val="0"/>
                <w:i w:val="0"/>
                <w:color w:val="102238"/>
                <w:sz w:val="17"/>
              </w:rPr>
              <w:t>Gold #C98619</w:t>
            </w:r>
          </w:p>
        </w:tc>
        <w:tc>
          <w:tcPr>
            <w:tcW w:type="dxa" w:w="6260"/>
            <w:tcMar>
              <w:top w:w="80" w:type="dxa"/>
              <w:start w:w="120" w:type="dxa"/>
              <w:bottom w:w="80" w:type="dxa"/>
              <w:end w:w="120" w:type="dxa"/>
            </w:tcMar>
            <w:vAlign w:val="center"/>
          </w:tcPr>
          <w:p>
            <w:pPr>
              <w:spacing w:before="0" w:after="20" w:line="252" w:lineRule="auto"/>
            </w:pPr>
            <w:r>
              <w:rPr>
                <w:rFonts w:ascii="Calibri" w:hAnsi="Calibri"/>
                <w:b w:val="0"/>
                <w:i w:val="0"/>
                <w:color w:val="102238"/>
                <w:sz w:val="17"/>
              </w:rPr>
              <w:t>Billing attention, nearing included-hours threshold and review-required states; never as the only status signal.</w:t>
            </w:r>
          </w:p>
        </w:tc>
      </w:tr>
      <w:tr>
        <w:tc>
          <w:tcPr>
            <w:tcW w:type="dxa" w:w="3100"/>
            <w:tcMar>
              <w:top w:w="80" w:type="dxa"/>
              <w:start w:w="120" w:type="dxa"/>
              <w:bottom w:w="80" w:type="dxa"/>
              <w:end w:w="120" w:type="dxa"/>
            </w:tcMar>
            <w:vAlign w:val="center"/>
          </w:tcPr>
          <w:p>
            <w:pPr>
              <w:spacing w:before="0" w:after="20" w:line="252" w:lineRule="auto"/>
            </w:pPr>
            <w:r>
              <w:rPr>
                <w:rFonts w:ascii="Calibri" w:hAnsi="Calibri"/>
                <w:b w:val="0"/>
                <w:i w:val="0"/>
                <w:color w:val="102238"/>
                <w:sz w:val="17"/>
              </w:rPr>
              <w:t>White cards on #F5F8FB</w:t>
            </w:r>
          </w:p>
        </w:tc>
        <w:tc>
          <w:tcPr>
            <w:tcW w:type="dxa" w:w="6260"/>
            <w:tcMar>
              <w:top w:w="80" w:type="dxa"/>
              <w:start w:w="120" w:type="dxa"/>
              <w:bottom w:w="80" w:type="dxa"/>
              <w:end w:w="120" w:type="dxa"/>
            </w:tcMar>
            <w:vAlign w:val="center"/>
          </w:tcPr>
          <w:p>
            <w:pPr>
              <w:spacing w:before="0" w:after="20" w:line="252" w:lineRule="auto"/>
            </w:pPr>
            <w:r>
              <w:rPr>
                <w:rFonts w:ascii="Calibri" w:hAnsi="Calibri"/>
                <w:b w:val="0"/>
                <w:i w:val="0"/>
                <w:color w:val="102238"/>
                <w:sz w:val="17"/>
              </w:rPr>
              <w:t>Dense role dashboards, request cards, approval queues and mobile panels.</w:t>
            </w:r>
          </w:p>
        </w:tc>
      </w:tr>
      <w:tr>
        <w:tc>
          <w:tcPr>
            <w:tcW w:type="dxa" w:w="3100"/>
            <w:tcMar>
              <w:top w:w="80" w:type="dxa"/>
              <w:start w:w="120" w:type="dxa"/>
              <w:bottom w:w="80" w:type="dxa"/>
              <w:end w:w="120" w:type="dxa"/>
            </w:tcMar>
            <w:vAlign w:val="center"/>
          </w:tcPr>
          <w:p>
            <w:pPr>
              <w:spacing w:before="0" w:after="20" w:line="252" w:lineRule="auto"/>
            </w:pPr>
            <w:r>
              <w:rPr>
                <w:rFonts w:ascii="Calibri" w:hAnsi="Calibri"/>
                <w:b w:val="0"/>
                <w:i w:val="0"/>
                <w:color w:val="102238"/>
                <w:sz w:val="17"/>
              </w:rPr>
              <w:t>Rounded 6-8px cards/buttons</w:t>
            </w:r>
          </w:p>
        </w:tc>
        <w:tc>
          <w:tcPr>
            <w:tcW w:type="dxa" w:w="6260"/>
            <w:tcMar>
              <w:top w:w="80" w:type="dxa"/>
              <w:start w:w="120" w:type="dxa"/>
              <w:bottom w:w="80" w:type="dxa"/>
              <w:end w:w="120" w:type="dxa"/>
            </w:tcMar>
            <w:vAlign w:val="center"/>
          </w:tcPr>
          <w:p>
            <w:pPr>
              <w:spacing w:before="0" w:after="20" w:line="252" w:lineRule="auto"/>
            </w:pPr>
            <w:r>
              <w:rPr>
                <w:rFonts w:ascii="Calibri" w:hAnsi="Calibri"/>
                <w:b w:val="0"/>
                <w:i w:val="0"/>
                <w:color w:val="102238"/>
                <w:sz w:val="17"/>
              </w:rPr>
              <w:t>Retain restrained radius and clear borders; avoid decorative dashboard chrome.</w:t>
            </w:r>
          </w:p>
        </w:tc>
      </w:tr>
      <w:tr>
        <w:tc>
          <w:tcPr>
            <w:tcW w:type="dxa" w:w="3100"/>
            <w:tcMar>
              <w:top w:w="80" w:type="dxa"/>
              <w:start w:w="120" w:type="dxa"/>
              <w:bottom w:w="80" w:type="dxa"/>
              <w:end w:w="120" w:type="dxa"/>
            </w:tcMar>
            <w:vAlign w:val="center"/>
          </w:tcPr>
          <w:p>
            <w:pPr>
              <w:spacing w:before="0" w:after="20" w:line="252" w:lineRule="auto"/>
            </w:pPr>
            <w:r>
              <w:rPr>
                <w:rFonts w:ascii="Calibri" w:hAnsi="Calibri"/>
                <w:b w:val="0"/>
                <w:i w:val="0"/>
                <w:color w:val="102238"/>
                <w:sz w:val="17"/>
              </w:rPr>
              <w:t>1120px centred content</w:t>
            </w:r>
          </w:p>
        </w:tc>
        <w:tc>
          <w:tcPr>
            <w:tcW w:type="dxa" w:w="6260"/>
            <w:tcMar>
              <w:top w:w="80" w:type="dxa"/>
              <w:start w:w="120" w:type="dxa"/>
              <w:bottom w:w="80" w:type="dxa"/>
              <w:end w:w="120" w:type="dxa"/>
            </w:tcMar>
            <w:vAlign w:val="center"/>
          </w:tcPr>
          <w:p>
            <w:pPr>
              <w:spacing w:before="0" w:after="20" w:line="252" w:lineRule="auto"/>
            </w:pPr>
            <w:r>
              <w:rPr>
                <w:rFonts w:ascii="Calibri" w:hAnsi="Calibri"/>
                <w:b w:val="0"/>
                <w:i w:val="0"/>
                <w:color w:val="102238"/>
                <w:sz w:val="17"/>
              </w:rPr>
              <w:t>Use the same desktop content rhythm, with full-width table wrappers only when necessary.</w:t>
            </w:r>
          </w:p>
        </w:tc>
      </w:tr>
      <w:tr>
        <w:tc>
          <w:tcPr>
            <w:tcW w:type="dxa" w:w="3100"/>
            <w:tcMar>
              <w:top w:w="80" w:type="dxa"/>
              <w:start w:w="120" w:type="dxa"/>
              <w:bottom w:w="80" w:type="dxa"/>
              <w:end w:w="120" w:type="dxa"/>
            </w:tcMar>
            <w:vAlign w:val="center"/>
          </w:tcPr>
          <w:p>
            <w:pPr>
              <w:spacing w:before="0" w:after="20" w:line="252" w:lineRule="auto"/>
            </w:pPr>
            <w:r>
              <w:rPr>
                <w:rFonts w:ascii="Calibri" w:hAnsi="Calibri"/>
                <w:b w:val="0"/>
                <w:i w:val="0"/>
                <w:color w:val="102238"/>
                <w:sz w:val="17"/>
              </w:rPr>
              <w:t>Responsive single-column breakpoint</w:t>
            </w:r>
          </w:p>
        </w:tc>
        <w:tc>
          <w:tcPr>
            <w:tcW w:type="dxa" w:w="6260"/>
            <w:tcMar>
              <w:top w:w="80" w:type="dxa"/>
              <w:start w:w="120" w:type="dxa"/>
              <w:bottom w:w="80" w:type="dxa"/>
              <w:end w:w="120" w:type="dxa"/>
            </w:tcMar>
            <w:vAlign w:val="center"/>
          </w:tcPr>
          <w:p>
            <w:pPr>
              <w:spacing w:before="0" w:after="20" w:line="252" w:lineRule="auto"/>
            </w:pPr>
            <w:r>
              <w:rPr>
                <w:rFonts w:ascii="Calibri" w:hAnsi="Calibri"/>
                <w:b w:val="0"/>
                <w:i w:val="0"/>
                <w:color w:val="102238"/>
                <w:sz w:val="17"/>
              </w:rPr>
              <w:t>Mobile-first request messaging, assignment decisions and time entry.</w:t>
            </w:r>
          </w:p>
        </w:tc>
      </w:tr>
    </w:tbl>
    <w:p>
      <w:pPr>
        <w:spacing w:after="20"/>
      </w:pPr>
    </w:p>
    <w:p>
      <w:pPr>
        <w:pStyle w:val="Heading2"/>
      </w:pPr>
      <w:r>
        <w:t>8.1 Public and authenticated navigation</w:t>
      </w:r>
    </w:p>
    <w:p>
      <w:pPr>
        <w:numPr>
          <w:ilvl w:val="0"/>
          <w:numId w:val="10"/>
        </w:numPr>
      </w:pPr>
      <w:r>
        <w:rPr>
          <w:rFonts w:ascii="Calibri" w:hAnsi="Calibri"/>
          <w:b w:val="0"/>
          <w:i w:val="0"/>
          <w:color w:val="102238"/>
          <w:sz w:val="22"/>
        </w:rPr>
        <w:t>Guest: Home, About, Services, Cloud, Contact, Login/Register.</w:t>
      </w:r>
    </w:p>
    <w:p>
      <w:pPr>
        <w:numPr>
          <w:ilvl w:val="0"/>
          <w:numId w:val="10"/>
        </w:numPr>
      </w:pPr>
      <w:r>
        <w:rPr>
          <w:rFonts w:ascii="Calibri" w:hAnsi="Calibri"/>
          <w:b w:val="0"/>
          <w:i w:val="0"/>
          <w:color w:val="102238"/>
          <w:sz w:val="22"/>
        </w:rPr>
        <w:t>Registered User: Dashboard, My Applications, Notifications, Profile.</w:t>
      </w:r>
    </w:p>
    <w:p>
      <w:pPr>
        <w:numPr>
          <w:ilvl w:val="0"/>
          <w:numId w:val="10"/>
        </w:numPr>
      </w:pPr>
      <w:r>
        <w:rPr>
          <w:rFonts w:ascii="Calibri" w:hAnsi="Calibri"/>
          <w:b w:val="0"/>
          <w:i w:val="0"/>
          <w:color w:val="102238"/>
          <w:sz w:val="22"/>
        </w:rPr>
        <w:t>Client: Dashboard, Requests, Service Plans, Usage, Invoices, Payments, Organisation, Notifications.</w:t>
      </w:r>
    </w:p>
    <w:p>
      <w:pPr>
        <w:numPr>
          <w:ilvl w:val="0"/>
          <w:numId w:val="10"/>
        </w:numPr>
      </w:pPr>
      <w:r>
        <w:rPr>
          <w:rFonts w:ascii="Calibri" w:hAnsi="Calibri"/>
          <w:b w:val="0"/>
          <w:i w:val="0"/>
          <w:color w:val="102238"/>
          <w:sz w:val="22"/>
        </w:rPr>
        <w:t>Associate/Apprentice: Dashboard, Assignments, Time, Messages, Availability, Professional Profile, Notifications.</w:t>
      </w:r>
    </w:p>
    <w:p>
      <w:pPr>
        <w:numPr>
          <w:ilvl w:val="0"/>
          <w:numId w:val="10"/>
        </w:numPr>
      </w:pPr>
      <w:r>
        <w:rPr>
          <w:rFonts w:ascii="Calibri" w:hAnsi="Calibri"/>
          <w:b w:val="0"/>
          <w:i w:val="0"/>
          <w:color w:val="102238"/>
          <w:sz w:val="22"/>
        </w:rPr>
        <w:t>Operations: Triage, Assignment Board, Approvals, Clients, Workforce, SLA, Reports.</w:t>
      </w:r>
    </w:p>
    <w:p>
      <w:pPr>
        <w:numPr>
          <w:ilvl w:val="0"/>
          <w:numId w:val="10"/>
        </w:numPr>
      </w:pPr>
      <w:r>
        <w:rPr>
          <w:rFonts w:ascii="Calibri" w:hAnsi="Calibri"/>
          <w:b w:val="0"/>
          <w:i w:val="0"/>
          <w:color w:val="102238"/>
          <w:sz w:val="22"/>
        </w:rPr>
        <w:t>Billing: Billing Runs, Draft Invoices, Receivables, Payments, Exceptions, Reports.</w:t>
      </w:r>
    </w:p>
    <w:p>
      <w:pPr>
        <w:numPr>
          <w:ilvl w:val="0"/>
          <w:numId w:val="10"/>
        </w:numPr>
      </w:pPr>
      <w:r>
        <w:rPr>
          <w:rFonts w:ascii="Calibri" w:hAnsi="Calibri"/>
          <w:b w:val="0"/>
          <w:i w:val="0"/>
          <w:color w:val="102238"/>
          <w:sz w:val="22"/>
        </w:rPr>
        <w:t>Administrator: configuration grouped by domain; join/system tables hidden from everyday navigation.</w:t>
      </w:r>
    </w:p>
    <w:p>
      <w:pPr>
        <w:pStyle w:val="Heading1"/>
      </w:pPr>
      <w:r>
        <w:t>9. Key screens</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tcMar>
              <w:top w:w="80" w:type="dxa"/>
              <w:start w:w="120" w:type="dxa"/>
              <w:bottom w:w="80" w:type="dxa"/>
              <w:end w:w="120" w:type="dxa"/>
            </w:tcMar>
            <w:vAlign w:val="center"/>
          </w:tcPr>
          <w:p>
            <w:pPr>
              <w:spacing w:before="0" w:after="20" w:line="252" w:lineRule="auto"/>
            </w:pPr>
            <w:r>
              <w:rPr>
                <w:rFonts w:ascii="Calibri" w:hAnsi="Calibri"/>
                <w:b/>
                <w:i w:val="0"/>
                <w:color w:val="102238"/>
                <w:sz w:val="16"/>
              </w:rPr>
              <w:t>Screen</w:t>
            </w:r>
          </w:p>
        </w:tc>
        <w:tc>
          <w:tcPr>
            <w:tcW w:type="dxa" w:w="7260"/>
            <w:shd w:fill="E8EEF5"/>
            <w:tcMar>
              <w:top w:w="80" w:type="dxa"/>
              <w:start w:w="120" w:type="dxa"/>
              <w:bottom w:w="80" w:type="dxa"/>
              <w:end w:w="120" w:type="dxa"/>
            </w:tcMar>
            <w:vAlign w:val="center"/>
          </w:tcPr>
          <w:p>
            <w:pPr>
              <w:spacing w:before="0" w:after="20" w:line="252" w:lineRule="auto"/>
            </w:pPr>
            <w:r>
              <w:rPr>
                <w:rFonts w:ascii="Calibri" w:hAnsi="Calibri"/>
                <w:b/>
                <w:i w:val="0"/>
                <w:color w:val="102238"/>
                <w:sz w:val="16"/>
              </w:rPr>
              <w:t>Essential content/actions</w:t>
            </w:r>
          </w:p>
        </w:tc>
      </w:tr>
      <w:tr>
        <w:tc>
          <w:tcPr>
            <w:tcW w:type="dxa" w:w="21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Client dashboard</w:t>
            </w:r>
          </w:p>
        </w:tc>
        <w:tc>
          <w:tcPr>
            <w:tcW w:type="dxa" w:w="72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Open requests, action-required messages, SLA/status, included-hours meter per service, draft/issued invoices and recent payments.</w:t>
            </w:r>
          </w:p>
        </w:tc>
      </w:tr>
      <w:tr>
        <w:tc>
          <w:tcPr>
            <w:tcW w:type="dxa" w:w="21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New request</w:t>
            </w:r>
          </w:p>
        </w:tc>
        <w:tc>
          <w:tcPr>
            <w:tcW w:type="dxa" w:w="72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Service plan, title, description, desired date, priority guidance, attachments, confidentiality, client reference and confirmation.</w:t>
            </w:r>
          </w:p>
        </w:tc>
      </w:tr>
      <w:tr>
        <w:tc>
          <w:tcPr>
            <w:tcW w:type="dxa" w:w="21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Request workspace</w:t>
            </w:r>
          </w:p>
        </w:tc>
        <w:tc>
          <w:tcPr>
            <w:tcW w:type="dxa" w:w="72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Summary/status/SLA, participants, shared timeline, internal notes for staff, assignments, time summary, files and billing links.</w:t>
            </w:r>
          </w:p>
        </w:tc>
      </w:tr>
      <w:tr>
        <w:tc>
          <w:tcPr>
            <w:tcW w:type="dxa" w:w="21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Assignment board</w:t>
            </w:r>
          </w:p>
        </w:tc>
        <w:tc>
          <w:tcPr>
            <w:tcW w:type="dxa" w:w="72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Unassigned queue, skill/level need, candidate availability/workload/rates, conflict warnings and assign/reassign action.</w:t>
            </w:r>
          </w:p>
        </w:tc>
      </w:tr>
      <w:tr>
        <w:tc>
          <w:tcPr>
            <w:tcW w:type="dxa" w:w="21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Professional dashboard</w:t>
            </w:r>
          </w:p>
        </w:tc>
        <w:tc>
          <w:tcPr>
            <w:tcW w:type="dxa" w:w="72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Offers awaiting response, active assignments, due work, unread messages, draft/submitted time and vetting/availability state.</w:t>
            </w:r>
          </w:p>
        </w:tc>
      </w:tr>
      <w:tr>
        <w:tc>
          <w:tcPr>
            <w:tcW w:type="dxa" w:w="21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Time entry</w:t>
            </w:r>
          </w:p>
        </w:tc>
        <w:tc>
          <w:tcPr>
            <w:tcW w:type="dxa" w:w="72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Mobile-friendly date, assignment, duration, narrative, billable flag; copy recent entry; daily/weekly totals; validation messages.</w:t>
            </w:r>
          </w:p>
        </w:tc>
      </w:tr>
      <w:tr>
        <w:tc>
          <w:tcPr>
            <w:tcW w:type="dxa" w:w="21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Billing review</w:t>
            </w:r>
          </w:p>
        </w:tc>
        <w:tc>
          <w:tcPr>
            <w:tcW w:type="dxa" w:w="72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Plan terms, approved hours, included allocation, split threshold entry, excess lines, tax, adjustments, validation and approval trail.</w:t>
            </w:r>
          </w:p>
        </w:tc>
      </w:tr>
      <w:tr>
        <w:tc>
          <w:tcPr>
            <w:tcW w:type="dxa" w:w="21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Payment capture</w:t>
            </w:r>
          </w:p>
        </w:tc>
        <w:tc>
          <w:tcPr>
            <w:tcW w:type="dxa" w:w="72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Invoice search, payer, reference, date, method, amount/currency, evidence, allocation preview, duplicate warning and authorisation.</w:t>
            </w:r>
          </w:p>
        </w:tc>
      </w:tr>
      <w:tr>
        <w:tc>
          <w:tcPr>
            <w:tcW w:type="dxa" w:w="21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Notification centre</w:t>
            </w:r>
          </w:p>
        </w:tc>
        <w:tc>
          <w:tcPr>
            <w:tcW w:type="dxa" w:w="72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Unread/action-required/due/failed filters, deep links, bulk mark-read and preferences.</w:t>
            </w:r>
          </w:p>
        </w:tc>
      </w:tr>
    </w:tbl>
    <w:p>
      <w:pPr>
        <w:spacing w:after="20"/>
      </w:pPr>
    </w:p>
    <w:p>
      <w:pPr>
        <w:pStyle w:val="Heading1"/>
      </w:pPr>
      <w:r>
        <w:t>10. Data, transactions and integrity</w:t>
      </w:r>
    </w:p>
    <w:p>
      <w:pPr>
        <w:numPr>
          <w:ilvl w:val="0"/>
          <w:numId w:val="10"/>
        </w:numPr>
      </w:pPr>
      <w:r>
        <w:rPr>
          <w:rFonts w:ascii="Calibri" w:hAnsi="Calibri"/>
          <w:b w:val="0"/>
          <w:i w:val="0"/>
          <w:color w:val="102238"/>
          <w:sz w:val="22"/>
        </w:rPr>
        <w:t>Use migrations as the production source of truth. Model auto-create remains a development convenience, not the only schema-management mechanism.</w:t>
      </w:r>
    </w:p>
    <w:p>
      <w:pPr>
        <w:numPr>
          <w:ilvl w:val="0"/>
          <w:numId w:val="10"/>
        </w:numPr>
      </w:pPr>
      <w:r>
        <w:rPr>
          <w:rFonts w:ascii="Calibri" w:hAnsi="Calibri"/>
          <w:b w:val="0"/>
          <w:i w:val="0"/>
          <w:color w:val="102238"/>
          <w:sz w:val="22"/>
        </w:rPr>
        <w:t>Wrap application approval, request assignment, invoice issue, payment allocation and reversal in database transactions.</w:t>
      </w:r>
    </w:p>
    <w:p>
      <w:pPr>
        <w:numPr>
          <w:ilvl w:val="0"/>
          <w:numId w:val="10"/>
        </w:numPr>
      </w:pPr>
      <w:r>
        <w:rPr>
          <w:rFonts w:ascii="Calibri" w:hAnsi="Calibri"/>
          <w:b w:val="0"/>
          <w:i w:val="0"/>
          <w:color w:val="102238"/>
          <w:sz w:val="22"/>
        </w:rPr>
        <w:t>Add unique constraints for email, service codes, request numbers, invoice numbers and idempotency keys; add partial/business validation where SQLite syntax permits.</w:t>
      </w:r>
    </w:p>
    <w:p>
      <w:pPr>
        <w:numPr>
          <w:ilvl w:val="0"/>
          <w:numId w:val="10"/>
        </w:numPr>
      </w:pPr>
      <w:r>
        <w:rPr>
          <w:rFonts w:ascii="Calibri" w:hAnsi="Calibri"/>
          <w:b w:val="0"/>
          <w:i w:val="0"/>
          <w:color w:val="102238"/>
          <w:sz w:val="22"/>
        </w:rPr>
        <w:t>Index foreign keys and frequent filters: organisation, service plan, request status/priority, assignee/status, work date/approval, billing period, invoice status/due date and notification recipient/read state.</w:t>
      </w:r>
    </w:p>
    <w:p>
      <w:pPr>
        <w:numPr>
          <w:ilvl w:val="0"/>
          <w:numId w:val="10"/>
        </w:numPr>
      </w:pPr>
      <w:r>
        <w:rPr>
          <w:rFonts w:ascii="Calibri" w:hAnsi="Calibri"/>
          <w:b w:val="0"/>
          <w:i w:val="0"/>
          <w:color w:val="102238"/>
          <w:sz w:val="22"/>
        </w:rPr>
        <w:t>Use decimal money as integer minor units or validated fixed-decimal strings; do not use binary floating-point for financial calculations.</w:t>
      </w:r>
    </w:p>
    <w:p>
      <w:pPr>
        <w:numPr>
          <w:ilvl w:val="0"/>
          <w:numId w:val="10"/>
        </w:numPr>
      </w:pPr>
      <w:r>
        <w:rPr>
          <w:rFonts w:ascii="Calibri" w:hAnsi="Calibri"/>
          <w:b w:val="0"/>
          <w:i w:val="0"/>
          <w:color w:val="102238"/>
          <w:sz w:val="22"/>
        </w:rPr>
        <w:t>Store times as UTC and display in the organisation/user time zone; store work_date separately for billing-period rules.</w:t>
      </w:r>
    </w:p>
    <w:p>
      <w:pPr>
        <w:numPr>
          <w:ilvl w:val="0"/>
          <w:numId w:val="10"/>
        </w:numPr>
      </w:pPr>
      <w:r>
        <w:rPr>
          <w:rFonts w:ascii="Calibri" w:hAnsi="Calibri"/>
          <w:b w:val="0"/>
          <w:i w:val="0"/>
          <w:color w:val="102238"/>
          <w:sz w:val="22"/>
        </w:rPr>
        <w:t>Issue immutable invoice PDFs and snapshots; do not render an old invoice from mutable current catalogue data.</w:t>
      </w:r>
    </w:p>
    <w:p>
      <w:pPr>
        <w:numPr>
          <w:ilvl w:val="0"/>
          <w:numId w:val="10"/>
        </w:numPr>
      </w:pPr>
      <w:r>
        <w:rPr>
          <w:rFonts w:ascii="Calibri" w:hAnsi="Calibri"/>
          <w:b w:val="0"/>
          <w:i w:val="0"/>
          <w:color w:val="102238"/>
          <w:sz w:val="22"/>
        </w:rPr>
        <w:t>Use an outbox table/event record so committed business actions and notifications cannot drift if email sending fails.</w:t>
      </w:r>
    </w:p>
    <w:p>
      <w:pPr>
        <w:pStyle w:val="Heading1"/>
      </w:pPr>
      <w:r>
        <w:t>11. Safe reconstruction sequence</w:t>
      </w:r>
    </w:p>
    <w:p>
      <w:pPr>
        <w:numPr>
          <w:ilvl w:val="0"/>
          <w:numId w:val="11"/>
        </w:numPr>
      </w:pPr>
      <w:r>
        <w:rPr>
          <w:rFonts w:ascii="Calibri" w:hAnsi="Calibri"/>
          <w:b w:val="0"/>
          <w:i w:val="0"/>
          <w:color w:val="102238"/>
          <w:sz w:val="22"/>
        </w:rPr>
        <w:t>Freeze and inventory the current Trainit folder; record file hashes and retain the static site's design/content as the visual reference.</w:t>
      </w:r>
    </w:p>
    <w:p>
      <w:pPr>
        <w:numPr>
          <w:ilvl w:val="0"/>
          <w:numId w:val="11"/>
        </w:numPr>
      </w:pPr>
      <w:r>
        <w:rPr>
          <w:rFonts w:ascii="Calibri" w:hAnsi="Calibri"/>
          <w:b w:val="0"/>
          <w:i w:val="0"/>
          <w:color w:val="102238"/>
          <w:sz w:val="22"/>
        </w:rPr>
        <w:t>Create a timestamped sibling legacy copy. Do not overwrite the only copy and do not place the backup recursively inside the source tree.</w:t>
      </w:r>
    </w:p>
    <w:p>
      <w:pPr>
        <w:numPr>
          <w:ilvl w:val="0"/>
          <w:numId w:val="11"/>
        </w:numPr>
      </w:pPr>
      <w:r>
        <w:rPr>
          <w:rFonts w:ascii="Calibri" w:hAnsi="Calibri"/>
          <w:b w:val="0"/>
          <w:i w:val="0"/>
          <w:color w:val="102238"/>
          <w:sz w:val="22"/>
        </w:rPr>
        <w:t>Copy the current master framework into Trainit while excluding docs, Git metadata and the master database; preserve master demo modules separately rather than shipping them.</w:t>
      </w:r>
    </w:p>
    <w:p>
      <w:pPr>
        <w:numPr>
          <w:ilvl w:val="0"/>
          <w:numId w:val="11"/>
        </w:numPr>
      </w:pPr>
      <w:r>
        <w:rPr>
          <w:rFonts w:ascii="Calibri" w:hAnsi="Calibri"/>
          <w:b w:val="0"/>
          <w:i w:val="0"/>
          <w:color w:val="102238"/>
          <w:sz w:val="22"/>
        </w:rPr>
        <w:t>Patch config.php directly for Trainit identity, URLs, environment and a fresh private secret. Create a blank writable SQLite database.</w:t>
      </w:r>
    </w:p>
    <w:p>
      <w:pPr>
        <w:numPr>
          <w:ilvl w:val="0"/>
          <w:numId w:val="11"/>
        </w:numPr>
      </w:pPr>
      <w:r>
        <w:rPr>
          <w:rFonts w:ascii="Calibri" w:hAnsi="Calibri"/>
          <w:b w:val="0"/>
          <w:i w:val="0"/>
          <w:color w:val="102238"/>
          <w:sz w:val="22"/>
        </w:rPr>
        <w:t>Port public pages into framework views, copy theme tokens/assets, and verify route rendering before domain generation.</w:t>
      </w:r>
    </w:p>
    <w:p>
      <w:pPr>
        <w:numPr>
          <w:ilvl w:val="0"/>
          <w:numId w:val="11"/>
        </w:numPr>
      </w:pPr>
      <w:r>
        <w:rPr>
          <w:rFonts w:ascii="Calibri" w:hAnsi="Calibri"/>
          <w:b w:val="0"/>
          <w:i w:val="0"/>
          <w:color w:val="102238"/>
          <w:sz w:val="22"/>
        </w:rPr>
        <w:t>Run the approved generator commands in dependency order. Before any page/model boot, patch generated schemas for nullability, defaults, money precision, unique/check constraints and indexes.</w:t>
      </w:r>
    </w:p>
    <w:p>
      <w:pPr>
        <w:numPr>
          <w:ilvl w:val="0"/>
          <w:numId w:val="11"/>
        </w:numPr>
      </w:pPr>
      <w:r>
        <w:rPr>
          <w:rFonts w:ascii="Calibri" w:hAnsi="Calibri"/>
          <w:b w:val="0"/>
          <w:i w:val="0"/>
          <w:color w:val="102238"/>
          <w:sz w:val="22"/>
        </w:rPr>
        <w:t>Create migrations and seed fixed roles/services. Replace generated CRUD behavior with domain services for workflow and financial modules.</w:t>
      </w:r>
    </w:p>
    <w:p>
      <w:pPr>
        <w:numPr>
          <w:ilvl w:val="0"/>
          <w:numId w:val="11"/>
        </w:numPr>
      </w:pPr>
      <w:r>
        <w:rPr>
          <w:rFonts w:ascii="Calibri" w:hAnsi="Calibri"/>
          <w:b w:val="0"/>
          <w:i w:val="0"/>
          <w:color w:val="102238"/>
          <w:sz w:val="22"/>
        </w:rPr>
        <w:t>Apply view-level and record-level access, then implement dashboards/notifications and complete automated tests.</w:t>
      </w:r>
    </w:p>
    <w:p>
      <w:pPr>
        <w:numPr>
          <w:ilvl w:val="0"/>
          <w:numId w:val="11"/>
        </w:numPr>
      </w:pPr>
      <w:r>
        <w:rPr>
          <w:rFonts w:ascii="Calibri" w:hAnsi="Calibri"/>
          <w:b w:val="0"/>
          <w:i w:val="0"/>
          <w:color w:val="102238"/>
          <w:sz w:val="22"/>
        </w:rPr>
        <w:t>Perform backup/restore rehearsal, UAT, billing parallel-run and controlled cutover. Keep rollback assets until formal acceptance.</w:t>
      </w:r>
    </w:p>
    <w:p>
      <w:pPr>
        <w:pStyle w:val="Heading1"/>
      </w:pPr>
      <w:r>
        <w:t>12. Technical risks and mitigations</w:t>
      </w:r>
    </w:p>
    <w:tbl>
      <w:tblPr>
        <w:tblW w:type="dxa" w:w="9360"/>
        <w:jc w:val="left"/>
        <w:tblLayout w:type="fixed"/>
        <w:tblLook w:firstColumn="1" w:firstRow="1" w:lastColumn="0" w:lastRow="0" w:noHBand="0" w:noVBand="1" w:val="04A0"/>
        <w:tblInd w:w="120" w:type="dxa"/>
      </w:tblPr>
      <w:tblGrid>
        <w:gridCol w:w="2500"/>
        <w:gridCol w:w="2800"/>
        <w:gridCol w:w="4060"/>
      </w:tblGrid>
      <w:tr>
        <w:trPr>
          <w:tblHeader w:val="true"/>
        </w:trPr>
        <w:tc>
          <w:tcPr>
            <w:tcW w:type="dxa" w:w="2500"/>
            <w:shd w:fill="E8EEF5"/>
            <w:tcMar>
              <w:top w:w="80" w:type="dxa"/>
              <w:start w:w="120" w:type="dxa"/>
              <w:bottom w:w="80" w:type="dxa"/>
              <w:end w:w="120" w:type="dxa"/>
            </w:tcMar>
            <w:vAlign w:val="center"/>
          </w:tcPr>
          <w:p>
            <w:pPr>
              <w:spacing w:before="0" w:after="20" w:line="252" w:lineRule="auto"/>
            </w:pPr>
            <w:r>
              <w:rPr>
                <w:rFonts w:ascii="Calibri" w:hAnsi="Calibri"/>
                <w:b/>
                <w:i w:val="0"/>
                <w:color w:val="102238"/>
                <w:sz w:val="16"/>
              </w:rPr>
              <w:t>Risk</w:t>
            </w:r>
          </w:p>
        </w:tc>
        <w:tc>
          <w:tcPr>
            <w:tcW w:type="dxa" w:w="2800"/>
            <w:shd w:fill="E8EEF5"/>
            <w:tcMar>
              <w:top w:w="80" w:type="dxa"/>
              <w:start w:w="120" w:type="dxa"/>
              <w:bottom w:w="80" w:type="dxa"/>
              <w:end w:w="120" w:type="dxa"/>
            </w:tcMar>
            <w:vAlign w:val="center"/>
          </w:tcPr>
          <w:p>
            <w:pPr>
              <w:spacing w:before="0" w:after="20" w:line="252" w:lineRule="auto"/>
              <w:jc w:val="center"/>
            </w:pPr>
            <w:r>
              <w:rPr>
                <w:rFonts w:ascii="Calibri" w:hAnsi="Calibri"/>
                <w:b/>
                <w:i w:val="0"/>
                <w:color w:val="102238"/>
                <w:sz w:val="16"/>
              </w:rPr>
              <w:t>Impact</w:t>
            </w:r>
          </w:p>
        </w:tc>
        <w:tc>
          <w:tcPr>
            <w:tcW w:type="dxa" w:w="4060"/>
            <w:shd w:fill="E8EEF5"/>
            <w:tcMar>
              <w:top w:w="80" w:type="dxa"/>
              <w:start w:w="120" w:type="dxa"/>
              <w:bottom w:w="80" w:type="dxa"/>
              <w:end w:w="120" w:type="dxa"/>
            </w:tcMar>
            <w:vAlign w:val="center"/>
          </w:tcPr>
          <w:p>
            <w:pPr>
              <w:spacing w:before="0" w:after="20" w:line="252" w:lineRule="auto"/>
              <w:jc w:val="center"/>
            </w:pPr>
            <w:r>
              <w:rPr>
                <w:rFonts w:ascii="Calibri" w:hAnsi="Calibri"/>
                <w:b/>
                <w:i w:val="0"/>
                <w:color w:val="102238"/>
                <w:sz w:val="16"/>
              </w:rPr>
              <w:t>Mitigation</w:t>
            </w:r>
          </w:p>
        </w:tc>
      </w:tr>
      <w:tr>
        <w:tc>
          <w:tcPr>
            <w:tcW w:type="dxa" w:w="25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Auto-created incomplete schemas</w:t>
            </w:r>
          </w:p>
        </w:tc>
        <w:tc>
          <w:tcPr>
            <w:tcW w:type="dxa" w:w="28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Incorrect columns become persistent after first boot.</w:t>
            </w:r>
          </w:p>
        </w:tc>
        <w:tc>
          <w:tcPr>
            <w:tcW w:type="dxa" w:w="40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Patch models/migrations before instantiation; test against disposable DB.</w:t>
            </w:r>
          </w:p>
        </w:tc>
      </w:tr>
      <w:tr>
        <w:tc>
          <w:tcPr>
            <w:tcW w:type="dxa" w:w="25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Generated admin exposure</w:t>
            </w:r>
          </w:p>
        </w:tc>
        <w:tc>
          <w:tcPr>
            <w:tcW w:type="dxa" w:w="28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Sensitive/system tables appear in generic admin nav.</w:t>
            </w:r>
          </w:p>
        </w:tc>
        <w:tc>
          <w:tcPr>
            <w:tcW w:type="dxa" w:w="40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Curate navigation and restrict headers/routes immediately after generation.</w:t>
            </w:r>
          </w:p>
        </w:tc>
      </w:tr>
      <w:tr>
        <w:tc>
          <w:tcPr>
            <w:tcW w:type="dxa" w:w="25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Single role field</w:t>
            </w:r>
          </w:p>
        </w:tc>
        <w:tc>
          <w:tcPr>
            <w:tcW w:type="dxa" w:w="28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One person cannot safely hold multiple duties.</w:t>
            </w:r>
          </w:p>
        </w:tc>
        <w:tc>
          <w:tcPr>
            <w:tcW w:type="dxa" w:w="40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Introduce capability grants/user-role assignments before multi-role operations.</w:t>
            </w:r>
          </w:p>
        </w:tc>
      </w:tr>
      <w:tr>
        <w:tc>
          <w:tcPr>
            <w:tcW w:type="dxa" w:w="25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View-only access control</w:t>
            </w:r>
          </w:p>
        </w:tc>
        <w:tc>
          <w:tcPr>
            <w:tcW w:type="dxa" w:w="28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A user could query another organisation's record.</w:t>
            </w:r>
          </w:p>
        </w:tc>
        <w:tc>
          <w:tcPr>
            <w:tcW w:type="dxa" w:w="40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Record-level policy guards and scoped queries on every endpoint.</w:t>
            </w:r>
          </w:p>
        </w:tc>
      </w:tr>
      <w:tr>
        <w:tc>
          <w:tcPr>
            <w:tcW w:type="dxa" w:w="25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Financial rounding</w:t>
            </w:r>
          </w:p>
        </w:tc>
        <w:tc>
          <w:tcPr>
            <w:tcW w:type="dxa" w:w="28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Invoice totals differ between UI, DB and PDF.</w:t>
            </w:r>
          </w:p>
        </w:tc>
        <w:tc>
          <w:tcPr>
            <w:tcW w:type="dxa" w:w="40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One BillingService, decimal/minor-unit arithmetic and golden test cases.</w:t>
            </w:r>
          </w:p>
        </w:tc>
      </w:tr>
      <w:tr>
        <w:tc>
          <w:tcPr>
            <w:tcW w:type="dxa" w:w="25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SQLite write contention</w:t>
            </w:r>
          </w:p>
        </w:tc>
        <w:tc>
          <w:tcPr>
            <w:tcW w:type="dxa" w:w="28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Busy errors under concurrent billing/notifications.</w:t>
            </w:r>
          </w:p>
        </w:tc>
        <w:tc>
          <w:tcPr>
            <w:tcW w:type="dxa" w:w="40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WAL, short transactions, retry policy, background queue and measured PostgreSQL trigger.</w:t>
            </w:r>
          </w:p>
        </w:tc>
      </w:tr>
      <w:tr>
        <w:tc>
          <w:tcPr>
            <w:tcW w:type="dxa" w:w="25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Email dependency</w:t>
            </w:r>
          </w:p>
        </w:tc>
        <w:tc>
          <w:tcPr>
            <w:tcW w:type="dxa" w:w="28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Users miss events when delivery fails.</w:t>
            </w:r>
          </w:p>
        </w:tc>
        <w:tc>
          <w:tcPr>
            <w:tcW w:type="dxa" w:w="40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In-app source of truth, retry queue, delivery dashboard and escalation.</w:t>
            </w:r>
          </w:p>
        </w:tc>
      </w:tr>
      <w:tr>
        <w:tc>
          <w:tcPr>
            <w:tcW w:type="dxa" w:w="25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Sensitive uploads</w:t>
            </w:r>
          </w:p>
        </w:tc>
        <w:tc>
          <w:tcPr>
            <w:tcW w:type="dxa" w:w="28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Vetting/client documents leak or contain malware.</w:t>
            </w:r>
          </w:p>
        </w:tc>
        <w:tc>
          <w:tcPr>
            <w:tcW w:type="dxa" w:w="40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Private storage, access-controlled streaming, MIME validation/scanning and retention rules.</w:t>
            </w:r>
          </w:p>
        </w:tc>
      </w:tr>
    </w:tbl>
    <w:p>
      <w:pPr>
        <w:spacing w:after="20"/>
      </w:pPr>
    </w:p>
    <w:p>
      <w:pPr>
        <w:pStyle w:val="Heading1"/>
      </w:pPr>
      <w:r>
        <w:t>13. Architecture approval checklist</w:t>
      </w:r>
    </w:p>
    <w:p>
      <w:pPr>
        <w:numPr>
          <w:ilvl w:val="0"/>
          <w:numId w:val="10"/>
        </w:numPr>
      </w:pPr>
      <w:r>
        <w:rPr>
          <w:rFonts w:ascii="Calibri" w:hAnsi="Calibri"/>
          <w:b w:val="0"/>
          <w:i w:val="0"/>
          <w:color w:val="102238"/>
          <w:sz w:val="22"/>
        </w:rPr>
        <w:t>Approve master-framework reconstruction as the canonical direction and preserve the current static site as a recoverable reference.</w:t>
      </w:r>
    </w:p>
    <w:p>
      <w:pPr>
        <w:numPr>
          <w:ilvl w:val="0"/>
          <w:numId w:val="10"/>
        </w:numPr>
      </w:pPr>
      <w:r>
        <w:rPr>
          <w:rFonts w:ascii="Calibri" w:hAnsi="Calibri"/>
          <w:b w:val="0"/>
          <w:i w:val="0"/>
          <w:color w:val="102238"/>
          <w:sz w:val="22"/>
        </w:rPr>
        <w:t>Approve the domain-service boundary: generated CRUD for low-risk configuration, explicit transactional services for workflows and finance.</w:t>
      </w:r>
    </w:p>
    <w:p>
      <w:pPr>
        <w:numPr>
          <w:ilvl w:val="0"/>
          <w:numId w:val="10"/>
        </w:numPr>
      </w:pPr>
      <w:r>
        <w:rPr>
          <w:rFonts w:ascii="Calibri" w:hAnsi="Calibri"/>
          <w:b w:val="0"/>
          <w:i w:val="0"/>
          <w:color w:val="102238"/>
          <w:sz w:val="22"/>
        </w:rPr>
        <w:t>Approve the primary-role plus future capability-grant strategy and the proposed portal navigation by role.</w:t>
      </w:r>
    </w:p>
    <w:p>
      <w:pPr>
        <w:numPr>
          <w:ilvl w:val="0"/>
          <w:numId w:val="10"/>
        </w:numPr>
      </w:pPr>
      <w:r>
        <w:rPr>
          <w:rFonts w:ascii="Calibri" w:hAnsi="Calibri"/>
          <w:b w:val="0"/>
          <w:i w:val="0"/>
          <w:color w:val="102238"/>
          <w:sz w:val="22"/>
        </w:rPr>
        <w:t>Approve shared versus internal communication visibility and the private-file delivery approach.</w:t>
      </w:r>
    </w:p>
    <w:p>
      <w:pPr>
        <w:numPr>
          <w:ilvl w:val="0"/>
          <w:numId w:val="10"/>
        </w:numPr>
      </w:pPr>
      <w:r>
        <w:rPr>
          <w:rFonts w:ascii="Calibri" w:hAnsi="Calibri"/>
          <w:b w:val="0"/>
          <w:i w:val="0"/>
          <w:color w:val="102238"/>
          <w:sz w:val="22"/>
        </w:rPr>
        <w:t>Approve SQLite for the measured MVP envelope, together with migrations, WAL, backup/restore and a PostgreSQL trigger.</w:t>
      </w:r>
    </w:p>
    <w:p>
      <w:pPr>
        <w:numPr>
          <w:ilvl w:val="0"/>
          <w:numId w:val="10"/>
        </w:numPr>
      </w:pPr>
      <w:r>
        <w:rPr>
          <w:rFonts w:ascii="Calibri" w:hAnsi="Calibri"/>
          <w:b w:val="0"/>
          <w:i w:val="0"/>
          <w:color w:val="102238"/>
          <w:sz w:val="22"/>
        </w:rPr>
        <w:t>Approve the safe sequence that patches schemas and policies before any generated model is instantiated.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657386"/>
        <w:sz w:val="17"/>
      </w:rPr>
      <w:t xml:space="preserve">Trainit - Confidential draft  |  Page </w:t>
    </w:r>
    <w:r>
      <w:rPr>
        <w:rFonts w:ascii="Calibri" w:hAnsi="Calibri"/>
        <w:b w:val="0"/>
        <w:i w:val="0"/>
        <w:color w:val="657386"/>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657386"/>
        <w:sz w:val="17"/>
      </w:rPr>
      <w:t>TRAINIT PORTAL DESIGN  |  SOLUTION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02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6BD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6BD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022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Trainit client service, workforce and billing portal design</dc:subject>
  <dc:creator>Trainit</dc:creator>
  <cp:keywords>Trainit, portal, PHP, SQLite, service requests, billing</cp:keywords>
  <dc:description>generated by python-docx</dc:description>
  <cp:lastModifiedBy/>
  <cp:revision>1</cp:revision>
  <dcterms:created xsi:type="dcterms:W3CDTF">2013-12-23T23:15:00Z</dcterms:created>
  <dcterms:modified xsi:type="dcterms:W3CDTF">2013-12-23T23:15:00Z</dcterms:modified>
  <cp:category/>
</cp:coreProperties>
</file>