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/>
          <w:b/>
          <w:i w:val="0"/>
          <w:color w:val="0C8F86"/>
          <w:sz w:val="22"/>
        </w:rPr>
        <w:t>TRAINIT</w:t>
      </w:r>
    </w:p>
    <w:p>
      <w:pPr>
        <w:spacing w:before="0" w:after="140"/>
      </w:pPr>
      <w:r>
        <w:rPr>
          <w:rFonts w:ascii="Calibri" w:hAnsi="Calibri"/>
          <w:b/>
          <w:i w:val="0"/>
          <w:color w:val="102238"/>
          <w:sz w:val="48"/>
        </w:rPr>
        <w:t>Data Model, Workflow Records and Billing Specification</w:t>
      </w:r>
    </w:p>
    <w:p>
      <w:pPr>
        <w:spacing w:after="360"/>
      </w:pPr>
      <w:r>
        <w:rPr>
          <w:rFonts w:ascii="Calibri" w:hAnsi="Calibri"/>
          <w:b w:val="0"/>
          <w:i w:val="0"/>
          <w:color w:val="657386"/>
          <w:sz w:val="26"/>
        </w:rPr>
        <w:t>Logical entities, relationships, invoice calculation and audit controls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rPr>
          <w:tblHeader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2238"/>
                <w:sz w:val="19"/>
              </w:rPr>
              <w:t>Document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238"/>
                <w:sz w:val="19"/>
              </w:rPr>
              <w:t>TRN-DAT-001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2238"/>
                <w:sz w:val="19"/>
              </w:rPr>
              <w:t>Version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238"/>
                <w:sz w:val="19"/>
              </w:rPr>
              <w:t>0.1 - Draft for review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2238"/>
                <w:sz w:val="19"/>
              </w:rPr>
              <w:t>Prepared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238"/>
                <w:sz w:val="19"/>
              </w:rPr>
              <w:t>14 August 2026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2238"/>
                <w:sz w:val="19"/>
              </w:rPr>
              <w:t>Purpose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238"/>
                <w:sz w:val="19"/>
              </w:rPr>
              <w:t>Provide a build-ready logical data model and deterministic billing behaviour independent of generated CRUD screens.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2238"/>
                <w:sz w:val="19"/>
              </w:rPr>
              <w:t>Execution status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238"/>
                <w:sz w:val="19"/>
              </w:rPr>
              <w:t>Design only - no migration, import, generator, database, or deployment command has been run</w:t>
            </w:r>
          </w:p>
        </w:tc>
      </w:tr>
    </w:tbl>
    <w:p>
      <w:pPr>
        <w:spacing w:before="280" w:after="0"/>
        <w:shd w:fill="E7F5F3"/>
      </w:pPr>
      <w:r>
        <w:rPr>
          <w:rFonts w:ascii="Calibri" w:hAnsi="Calibri"/>
          <w:b/>
          <w:i w:val="0"/>
          <w:color w:val="0C8F86"/>
          <w:sz w:val="20"/>
        </w:rPr>
        <w:t xml:space="preserve">DESIGN PRINCIPLE  </w:t>
      </w:r>
      <w:r>
        <w:rPr>
          <w:rFonts w:ascii="Calibri" w:hAnsi="Calibri"/>
          <w:b w:val="0"/>
          <w:i w:val="0"/>
          <w:color w:val="102238"/>
          <w:sz w:val="20"/>
        </w:rPr>
        <w:t>One public identity, one shared registration path, controlled role elevation, request-centred collaboration, auditable time, and explainable billing.</w:t>
      </w:r>
    </w:p>
    <w:p>
      <w:pPr>
        <w:pStyle w:val="Heading1"/>
      </w:pPr>
      <w:r>
        <w:t>1. Modelling principles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Use singular table names compatible with the current boilerplate generator; generated model naming is simple ucfirst/lowercase and must be reviewed for multiword names.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Keep catalogue prices separate from assignment and invoice snapshots. Historical money must never change when a current rate changes.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Represent many-to-many relationships with explicit join entities because they carry scope, role, dates or audit information.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Use status history/adjustment records for meaningful transitions; do not rely only on the generator's generic integer status field.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Treat shared communication, internal notes, vetting evidence and finance evidence as different visibility classes.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Every financial source-to-output relationship remains queryable: client service -&gt; billing period -&gt; approved time -&gt; invoice item -&gt; payment allocation.</w:t>
      </w:r>
    </w:p>
    <w:p>
      <w:pPr>
        <w:pStyle w:val="Heading1"/>
      </w:pPr>
      <w:r>
        <w:t>2. Entity catalogue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02238"/>
                <w:sz w:val="16"/>
              </w:rPr>
              <w:t>Entity</w:t>
            </w:r>
          </w:p>
        </w:tc>
        <w:tc>
          <w:tcPr>
            <w:tcW w:type="dxa" w:w="7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02238"/>
                <w:sz w:val="16"/>
              </w:rPr>
              <w:t>Purpose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accountapplication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A user's request for Client, Associate or Apprentice access; status, submit/review decisions.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professionalapplication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Professional-specific application detail and requested worker level.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qualification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Qualification evidence attached to a professional application.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workexperience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Employment/project history and optional referee data.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professionalexpertise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Expertise, proficiency and years associated with an application/profile.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professionalprofile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Approved Associate/Apprentice identity, vetting state, availability and capacity.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clientapplication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Organisation details supplied during a Client account request.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clientapplicationservice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Requested services on the client application.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clientorganization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Approved client entity and billing identity.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clientmembership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User access to an organisation with client-side role and effective dates.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servicecategory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Top-level expandable category: HR, Finance, IT, Marketing.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serviceoffering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Specific purchasable/deliverable service within a category.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expertise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Reusable skill/expertise taxonomy.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serviceexpertise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Expertise required or preferred for a service offering.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serviceprice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Effective-dated default hourly rate by offering and worker level.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servicelevelpolicy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Response/resolution targets by offering and priority.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clientserviceplan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Client-specific service subscription, monthly fee, included hours and owners.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servicerequest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Client request, service plan, requester, priority, SLA and current workflow state.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requeststatushistory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Immutable state changes and reasons.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requestattachment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Private file metadata and visibility.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workassignment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Professional assignment, level/rate snapshot, dates, lead/supervisor and state.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requestmessage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Shared message or internal note with immutable audit metadata.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messageattachment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Attachment mapped to a message with inherited visibility.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timelog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Work date, hours, description, billable state and approval workflow.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timeadjustment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Non-destructive correction to approved/locked time.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billingperiod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One client service's recurring calculation window and included-hours snapshot.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invoice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Issued receivable header and immutable financial totals.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invoiceitem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Fixed charge, excess usage, adjustment, tax or credit line.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invoiceusage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Allocation of a time entry/adjustment to an invoice item, including included/excess split.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creditnote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Controlled reduction against an issued invoice.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payment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Externally received payment record and evidence.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paymentallocation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Amount applied from one payment to one invoice.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notification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Recipient-specific in-app notice and deep link.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notificationdelivery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Email/SMS delivery attempt, status, retry and provider reference.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notificationpreference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User choices per event/channel, subject to mandatory-policy override.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auditevent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Security/operational/financial change event with actor and correlation context.</w:t>
            </w:r>
          </w:p>
        </w:tc>
      </w:tr>
    </w:tbl>
    <w:p>
      <w:pPr>
        <w:spacing w:after="20"/>
      </w:pPr>
    </w:p>
    <w:p>
      <w:pPr>
        <w:pStyle w:val="Heading1"/>
      </w:pPr>
      <w:r>
        <w:t>3. Relationship map</w:t>
      </w:r>
    </w:p>
    <w:p>
      <w:pPr>
        <w:spacing w:before="0" w:after="0"/>
        <w:ind w:left="259" w:right="115"/>
        <w:shd w:fill="F2F4F7"/>
      </w:pPr>
      <w:r>
        <w:rPr>
          <w:rFonts w:ascii="Courier New" w:hAnsi="Courier New"/>
          <w:b w:val="0"/>
          <w:i w:val="0"/>
          <w:color w:val="102238"/>
          <w:sz w:val="16"/>
        </w:rPr>
        <w:t>user 1--* accountapplication 1--0..1 professionalapplication</w:t>
      </w:r>
    </w:p>
    <w:p>
      <w:pPr>
        <w:spacing w:before="0" w:after="0"/>
        <w:ind w:left="259" w:right="115"/>
        <w:shd w:fill="F2F4F7"/>
      </w:pPr>
      <w:r>
        <w:rPr>
          <w:rFonts w:ascii="Courier New" w:hAnsi="Courier New"/>
          <w:b w:val="0"/>
          <w:i w:val="0"/>
          <w:color w:val="102238"/>
          <w:sz w:val="16"/>
        </w:rPr>
        <w:t>accountapplication 1--0..1 clientapplication</w:t>
      </w:r>
    </w:p>
    <w:p>
      <w:pPr>
        <w:spacing w:before="0" w:after="0"/>
        <w:ind w:left="259" w:right="115"/>
        <w:shd w:fill="F2F4F7"/>
      </w:pPr>
      <w:r>
        <w:rPr>
          <w:rFonts w:ascii="Courier New" w:hAnsi="Courier New"/>
          <w:b w:val="0"/>
          <w:i w:val="0"/>
          <w:color w:val="102238"/>
          <w:sz w:val="16"/>
        </w:rPr>
        <w:t>professionalapplication 1--* qualification / workexperience / professionalexpertise</w:t>
      </w:r>
    </w:p>
    <w:p>
      <w:pPr>
        <w:spacing w:before="0" w:after="0"/>
        <w:ind w:left="259" w:right="115"/>
        <w:shd w:fill="F2F4F7"/>
      </w:pPr>
      <w:r>
        <w:rPr>
          <w:rFonts w:ascii="Courier New" w:hAnsi="Courier New"/>
          <w:b w:val="0"/>
          <w:i w:val="0"/>
          <w:color w:val="102238"/>
          <w:sz w:val="16"/>
        </w:rPr>
        <w:t>approved user 1--0..1 professionalprofile</w:t>
      </w:r>
    </w:p>
    <w:p>
      <w:pPr>
        <w:spacing w:before="0" w:after="0"/>
        <w:ind w:left="259" w:right="115"/>
        <w:shd w:fill="F2F4F7"/>
      </w:pPr>
      <w:r>
        <w:rPr>
          <w:rFonts w:ascii="Courier New" w:hAnsi="Courier New"/>
          <w:b w:val="0"/>
          <w:i w:val="0"/>
          <w:color w:val="102238"/>
          <w:sz w:val="16"/>
        </w:rPr>
        <w:t>clientapplication *--* servicecategory via clientapplicationservice</w:t>
      </w:r>
    </w:p>
    <w:p>
      <w:pPr>
        <w:spacing w:before="0" w:after="0"/>
        <w:ind w:left="259" w:right="115"/>
        <w:shd w:fill="F2F4F7"/>
      </w:pPr>
      <w:r>
        <w:rPr>
          <w:rFonts w:ascii="Courier New" w:hAnsi="Courier New"/>
          <w:b w:val="0"/>
          <w:i w:val="0"/>
          <w:color w:val="102238"/>
          <w:sz w:val="16"/>
        </w:rPr>
        <w:t>clientorganization 1--* clientmembership *--1 user</w:t>
      </w:r>
    </w:p>
    <w:p>
      <w:pPr>
        <w:spacing w:before="0" w:after="0"/>
        <w:ind w:left="259" w:right="115"/>
        <w:shd w:fill="F2F4F7"/>
      </w:pPr>
      <w:r>
        <w:rPr>
          <w:rFonts w:ascii="Courier New" w:hAnsi="Courier New"/>
          <w:b w:val="0"/>
          <w:i w:val="0"/>
          <w:color w:val="102238"/>
          <w:sz w:val="16"/>
        </w:rPr>
        <w:t>servicecategory 1--* serviceoffering *--* expertise via serviceexpertise</w:t>
      </w:r>
    </w:p>
    <w:p>
      <w:pPr>
        <w:spacing w:before="0" w:after="0"/>
        <w:ind w:left="259" w:right="115"/>
        <w:shd w:fill="F2F4F7"/>
      </w:pPr>
      <w:r>
        <w:rPr>
          <w:rFonts w:ascii="Courier New" w:hAnsi="Courier New"/>
          <w:b w:val="0"/>
          <w:i w:val="0"/>
          <w:color w:val="102238"/>
          <w:sz w:val="16"/>
        </w:rPr>
        <w:t>serviceoffering 1--* serviceprice / servicelevelpolicy / clientserviceplan</w:t>
      </w:r>
    </w:p>
    <w:p>
      <w:pPr>
        <w:spacing w:before="0" w:after="0"/>
        <w:ind w:left="259" w:right="115"/>
        <w:shd w:fill="F2F4F7"/>
      </w:pPr>
      <w:r>
        <w:rPr>
          <w:rFonts w:ascii="Courier New" w:hAnsi="Courier New"/>
          <w:b w:val="0"/>
          <w:i w:val="0"/>
          <w:color w:val="102238"/>
          <w:sz w:val="16"/>
        </w:rPr>
        <w:t>clientorganization 1--* clientserviceplan 1--* servicerequest</w:t>
      </w:r>
    </w:p>
    <w:p>
      <w:pPr>
        <w:spacing w:before="0" w:after="0"/>
        <w:ind w:left="259" w:right="115"/>
        <w:shd w:fill="F2F4F7"/>
      </w:pPr>
      <w:r>
        <w:rPr>
          <w:rFonts w:ascii="Courier New" w:hAnsi="Courier New"/>
          <w:b w:val="0"/>
          <w:i w:val="0"/>
          <w:color w:val="102238"/>
          <w:sz w:val="16"/>
        </w:rPr>
        <w:t>servicerequest 1--* workassignment *--1 professionalprofile</w:t>
      </w:r>
    </w:p>
    <w:p>
      <w:pPr>
        <w:spacing w:before="0" w:after="0"/>
        <w:ind w:left="259" w:right="115"/>
        <w:shd w:fill="F2F4F7"/>
      </w:pPr>
      <w:r>
        <w:rPr>
          <w:rFonts w:ascii="Courier New" w:hAnsi="Courier New"/>
          <w:b w:val="0"/>
          <w:i w:val="0"/>
          <w:color w:val="102238"/>
          <w:sz w:val="16"/>
        </w:rPr>
        <w:t>servicerequest 1--* requestmessage / requestattachment / requeststatushistory</w:t>
      </w:r>
    </w:p>
    <w:p>
      <w:pPr>
        <w:spacing w:before="0" w:after="0"/>
        <w:ind w:left="259" w:right="115"/>
        <w:shd w:fill="F2F4F7"/>
      </w:pPr>
      <w:r>
        <w:rPr>
          <w:rFonts w:ascii="Courier New" w:hAnsi="Courier New"/>
          <w:b w:val="0"/>
          <w:i w:val="0"/>
          <w:color w:val="102238"/>
          <w:sz w:val="16"/>
        </w:rPr>
        <w:t>workassignment 1--* timelog 1--* timeadjustment</w:t>
      </w:r>
    </w:p>
    <w:p>
      <w:pPr>
        <w:spacing w:before="0" w:after="0"/>
        <w:ind w:left="259" w:right="115"/>
        <w:shd w:fill="F2F4F7"/>
      </w:pPr>
      <w:r>
        <w:rPr>
          <w:rFonts w:ascii="Courier New" w:hAnsi="Courier New"/>
          <w:b w:val="0"/>
          <w:i w:val="0"/>
          <w:color w:val="102238"/>
          <w:sz w:val="16"/>
        </w:rPr>
        <w:t>clientserviceplan 1--* billingperiod 1--* invoice</w:t>
      </w:r>
    </w:p>
    <w:p>
      <w:pPr>
        <w:spacing w:before="0" w:after="0"/>
        <w:ind w:left="259" w:right="115"/>
        <w:shd w:fill="F2F4F7"/>
      </w:pPr>
      <w:r>
        <w:rPr>
          <w:rFonts w:ascii="Courier New" w:hAnsi="Courier New"/>
          <w:b w:val="0"/>
          <w:i w:val="0"/>
          <w:color w:val="102238"/>
          <w:sz w:val="16"/>
        </w:rPr>
        <w:t>invoice 1--* invoiceitem 1--* invoiceusage *--1 timelog/timeadjustment</w:t>
      </w:r>
    </w:p>
    <w:p>
      <w:pPr>
        <w:spacing w:before="0" w:after="0"/>
        <w:ind w:left="259" w:right="115"/>
        <w:shd w:fill="F2F4F7"/>
      </w:pPr>
      <w:r>
        <w:rPr>
          <w:rFonts w:ascii="Courier New" w:hAnsi="Courier New"/>
          <w:b w:val="0"/>
          <w:i w:val="0"/>
          <w:color w:val="102238"/>
          <w:sz w:val="16"/>
        </w:rPr>
        <w:t>payment *--* invoice via paymentallocation; invoice 1--* creditnote</w:t>
      </w:r>
    </w:p>
    <w:p>
      <w:pPr>
        <w:spacing w:before="0" w:after="0"/>
        <w:ind w:left="259" w:right="115"/>
        <w:shd w:fill="F2F4F7"/>
      </w:pPr>
      <w:r>
        <w:rPr>
          <w:rFonts w:ascii="Courier New" w:hAnsi="Courier New"/>
          <w:b w:val="0"/>
          <w:i w:val="0"/>
          <w:color w:val="102238"/>
          <w:sz w:val="16"/>
        </w:rPr>
        <w:t>business event -&gt; notification -&gt; notificationdelivery; privileged change -&gt; auditevent</w:t>
      </w:r>
    </w:p>
    <w:p>
      <w:pPr>
        <w:pStyle w:val="Heading1"/>
      </w:pPr>
      <w:r>
        <w:t>4. Required keys, constraints and indexes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02238"/>
                <w:sz w:val="16"/>
              </w:rPr>
              <w:t>Area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02238"/>
                <w:sz w:val="16"/>
              </w:rPr>
              <w:t>Required rule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Business identifiers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Unique service code, request number, invoice number, credit-note number; use transactional sequence allocation.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Applications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At most one active submitted application per user/requested type; reviewed_by/reviewed_at nullable until review.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Membership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Unique active user + client organisation membership; effective_to nullable.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Prices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No conflicting active effective period for offering + worker level + currency; rate &gt;= 0.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Plans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monthly_fee &gt;= 0, included_hours &gt;= 0, end &gt;= start, billing cycle day valid.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Assignments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Assignee must be approved/active; rate snapshot &gt;= 0; one lead per request; supervisor rules for Apprentice where configured.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Time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hours &gt; 0 and within policy maximum; work_date within assignment/service eligibility; invoiced entries immutable.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Billing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One billing period per plan/start/end; one invoice idempotency key per run; line totals and header totals validated in service.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Payments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amount &gt; 0; allocation sum &lt;= payment amount; invoice allocations cannot exceed permitted balance without explicit credit policy.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Files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Storage key unique; original filename is metadata only; access never derives directly from client-supplied path.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Indexes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All foreign keys plus request(status, organisation, priority, due), assignment(profile, status), timelog(work_date, approval), invoice(status, due), notification(user, read).</w:t>
            </w:r>
          </w:p>
        </w:tc>
      </w:tr>
    </w:tbl>
    <w:p>
      <w:pPr>
        <w:spacing w:after="20"/>
      </w:pPr>
    </w:p>
    <w:p>
      <w:pPr>
        <w:pStyle w:val="Heading1"/>
      </w:pPr>
      <w:r>
        <w:t>5. Billing-period calculation</w:t>
      </w:r>
    </w:p>
    <w:p>
      <w:pPr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02238"/>
          <w:sz w:val="22"/>
        </w:rPr>
        <w:t>Open or load the unique billing period for one client service plan and snapshot contract terms: monthly fee, included hours, currency, policy, tax and cycle dates.</w:t>
      </w:r>
    </w:p>
    <w:p>
      <w:pPr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02238"/>
          <w:sz w:val="22"/>
        </w:rPr>
        <w:t>Select eligible usage: approved, billable, uninvoiced time/adjustments whose work date is inside the period and whose request belongs to that plan.</w:t>
      </w:r>
    </w:p>
    <w:p>
      <w:pPr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02238"/>
          <w:sz w:val="22"/>
        </w:rPr>
        <w:t>Sort usage by work date, submitted timestamp and ID. Apply prior period-approved carry/adjustment rules only if the contract enables them.</w:t>
      </w:r>
    </w:p>
    <w:p>
      <w:pPr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02238"/>
          <w:sz w:val="22"/>
        </w:rPr>
        <w:t>Consume included hours in order. For a threshold-crossing entry, create invoiceusage allocations for the included portion and excess portion without changing timelog.hours.</w:t>
      </w:r>
    </w:p>
    <w:p>
      <w:pPr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02238"/>
          <w:sz w:val="22"/>
        </w:rPr>
        <w:t>Create one fixed monthly-charge line. Create explainable excess lines grouped by service/worker level/rate only when grouping preserves source links.</w:t>
      </w:r>
    </w:p>
    <w:p>
      <w:pPr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02238"/>
          <w:sz w:val="22"/>
        </w:rPr>
        <w:t>Apply contract adjustments, discounts, taxes and credits in a defined order; round at the configured line and invoice precision using decimal arithmetic.</w:t>
      </w:r>
    </w:p>
    <w:p>
      <w:pPr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02238"/>
          <w:sz w:val="22"/>
        </w:rPr>
        <w:t>Validate totals, missing rate snapshots, overlapping period, already-invoiced usage and negative/unsupported values. Any exception blocks issue and enters a billing exception queue.</w:t>
      </w:r>
    </w:p>
    <w:p>
      <w:pPr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02238"/>
          <w:sz w:val="22"/>
        </w:rPr>
        <w:t>On approval/issue, allocate an invoice number, persist immutable header/lines/usage snapshots, lock source usage and enqueue delivery in one transaction/outbox workflow.</w:t>
      </w:r>
    </w:p>
    <w:p>
      <w:pPr>
        <w:pStyle w:val="Heading1"/>
      </w:pPr>
      <w:r>
        <w:t>6. Worked example (illustrative only)</w:t>
      </w:r>
    </w:p>
    <w:p>
      <w:r>
        <w:rPr>
          <w:rFonts w:ascii="Calibri" w:hAnsi="Calibri"/>
          <w:b w:val="0"/>
          <w:i w:val="0"/>
          <w:color w:val="102238"/>
          <w:sz w:val="22"/>
        </w:rPr>
        <w:t>Contract assumptions for illustration: IT monthly fee = 500 currency units, included hours = 10, billing policy = chronological pooled hours. Associate excess rate = 60/hour and Apprentice excess rate = 30/hour. These are examples, not approved Trainit pricing.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1450"/>
        <w:gridCol w:w="1600"/>
        <w:gridCol w:w="1800"/>
        <w:gridCol w:w="1700"/>
        <w:gridCol w:w="2010"/>
      </w:tblGrid>
      <w:tr>
        <w:trPr>
          <w:tblHeader w:val="true"/>
        </w:trPr>
        <w:tc>
          <w:tcPr>
            <w:tcW w:type="dxa" w:w="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02238"/>
                <w:sz w:val="16"/>
              </w:rPr>
              <w:t>Entry</w:t>
            </w:r>
          </w:p>
        </w:tc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02238"/>
                <w:sz w:val="16"/>
              </w:rPr>
              <w:t>Level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02238"/>
                <w:sz w:val="16"/>
              </w:rPr>
              <w:t>Approved hours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02238"/>
                <w:sz w:val="16"/>
              </w:rPr>
              <w:t>Included allocation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02238"/>
                <w:sz w:val="16"/>
              </w:rPr>
              <w:t>Excess allocation</w:t>
            </w:r>
          </w:p>
        </w:tc>
        <w:tc>
          <w:tcPr>
            <w:tcW w:type="dxa" w:w="20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02238"/>
                <w:sz w:val="16"/>
              </w:rPr>
              <w:t>Excess value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Apprentice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4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0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0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2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Associate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5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0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0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3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Apprentice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2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2 x 30 = 60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4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Associate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2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2 x 60 = 120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Totals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14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10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4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180</w:t>
            </w:r>
          </w:p>
        </w:tc>
      </w:tr>
    </w:tbl>
    <w:p>
      <w:pPr>
        <w:spacing w:after="20"/>
      </w:pPr>
    </w:p>
    <w:p>
      <w:r>
        <w:rPr>
          <w:rFonts w:ascii="Calibri" w:hAnsi="Calibri"/>
          <w:b w:val="0"/>
          <w:i w:val="0"/>
          <w:color w:val="102238"/>
          <w:sz w:val="22"/>
        </w:rPr>
        <w:t>Illustrative subtotal before tax/credits = 500 fixed monthly charge + 180 excess usage = 680. The invoiceusage rows preserve that entry 3 was split 1 included / 2 excess.</w:t>
      </w:r>
    </w:p>
    <w:p>
      <w:pPr>
        <w:pStyle w:val="Heading1"/>
      </w:pPr>
      <w:r>
        <w:t>7. Invoice and payment integrity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Store money consistently as integer minor units (recommended) or fixed decimals with declared precision; never calculate with PHP float.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Invoice status changes are commands with validation, not arbitrary CRUD edits. Issued invoices are immutable except for delivery metadata and derived balance/status.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Invoice balance = issued total - valid credit notes - active payment allocations. Do not store a manually editable balance as the sole source of truth.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A manual payment may remain Unverified until supporting evidence is checked. Client confirmation is a notification, not proof of bank settlement.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Duplicate detection uses payer reference, date, amount, currency and client, but an authorised override is possible with a reason because valid split/duplicate-looking payments occur.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Reversal creates a compensating status/event and removes active allocation effect; it does not delete the payment row.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Payment gateway integration later should write the same payment/allocation model through idempotent verified callbacks, not a parallel invoice state system.</w:t>
      </w:r>
    </w:p>
    <w:p>
      <w:pPr>
        <w:pStyle w:val="Heading1"/>
      </w:pPr>
      <w:r>
        <w:t>8. Data classification and retention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200"/>
        <w:gridCol w:w="44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02238"/>
                <w:sz w:val="16"/>
              </w:rPr>
              <w:t>Class</w:t>
            </w:r>
          </w:p>
        </w:tc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02238"/>
                <w:sz w:val="16"/>
              </w:rPr>
              <w:t>Examples</w:t>
            </w:r>
          </w:p>
        </w:tc>
        <w:tc>
          <w:tcPr>
            <w:tcW w:type="dxa" w:w="4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02238"/>
                <w:sz w:val="16"/>
              </w:rPr>
              <w:t>Controls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Public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Service descriptions, public company content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Normal web publishing controls.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Account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Name, email, preferences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Authenticated access; export/correction; limited admin visibility.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Client confidential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Requests, messages, attachments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Membership and request participant policy; private storage.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Professional sensitive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Qualifications, work history, references, vetting evidence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Vetting-only access, strict retention and download audit.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Financial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Plans, invoices, payment evidence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Billing permission, immutable audit, backup and retention policy.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Security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Passwords, session tokens, reset tokens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Hashes/encryption, never logged or exported; short retention for reset/session data.</w:t>
            </w:r>
          </w:p>
        </w:tc>
      </w:tr>
    </w:tbl>
    <w:p>
      <w:pPr>
        <w:spacing w:after="20"/>
      </w:pPr>
    </w:p>
    <w:p>
      <w:pPr>
        <w:pStyle w:val="Heading1"/>
      </w:pPr>
      <w:r>
        <w:t>9. Seed/reference data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02238"/>
                <w:sz w:val="16"/>
              </w:rPr>
              <w:t>Dataset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02238"/>
                <w:sz w:val="16"/>
              </w:rPr>
              <w:t>Initial values / rule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Service categories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HR, Finance, IT, Marketing; administrators can add more without code changes.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Worker levels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Associate, Apprentice. Treat as controlled values or a future table if more levels are expected.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Application states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Draft, Submitted, Under Review, Changes Requested, Approved, Rejected, Suspended, Expired, Withdrawn.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Request priorities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Low, Normal, High, Urgent; SLA mapping belongs to service policy.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Visibility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Shared, Trainit Internal, Billing Restricted, Vetting Restricted.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Payment methods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Bank transfer, cash, cheque, mobile money, other; actual list configured by Trainit.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Currencies/taxes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TBD; do not invent production defaults.</w:t>
            </w:r>
          </w:p>
        </w:tc>
      </w:tr>
    </w:tbl>
    <w:p>
      <w:pPr>
        <w:spacing w:after="20"/>
      </w:pPr>
    </w:p>
    <w:p>
      <w:pPr>
        <w:pStyle w:val="Heading1"/>
      </w:pPr>
      <w:r>
        <w:t>10. Data design approval checklist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Confirm singular concatenated table names or approve a generator naming improvement before modules are created.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Confirm which optional fields are nullable, which values need defaults and which statuses become controlled reference data.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Confirm money storage, precision, rounding order, currencies, tax treatment and immutable invoice snapshot fields.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Confirm the chronological included-hours rule and how late-approved time is handled after a billing period closes.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Confirm unique business-number formats, payment duplicate policy, credit/reversal authorisation and retention periods.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Approve the minimum index set and record the measured threshold that triggers a database-platform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b w:val="0"/>
        <w:i w:val="0"/>
        <w:color w:val="657386"/>
        <w:sz w:val="17"/>
      </w:rPr>
      <w:t xml:space="preserve">Trainit - Confidential draft  |  Page </w:t>
    </w:r>
    <w:r>
      <w:rPr>
        <w:rFonts w:ascii="Calibri" w:hAnsi="Calibri"/>
        <w:b w:val="0"/>
        <w:i w:val="0"/>
        <w:color w:val="657386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i w:val="0"/>
        <w:color w:val="657386"/>
        <w:sz w:val="17"/>
      </w:rPr>
      <w:t>TRAINIT PORTAL DESIGN  |  DATA AND BILLING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/>
      <w:color w:val="102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76BD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76BD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0223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and billing design</dc:title>
  <dc:subject>Trainit client service, workforce and billing portal design</dc:subject>
  <dc:creator>Trainit</dc:creator>
  <cp:keywords>Trainit, portal, PHP, SQLite, service requests, billing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