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/>
          <w:b/>
          <w:i w:val="0"/>
          <w:color w:val="0C8F86"/>
          <w:sz w:val="22"/>
        </w:rPr>
        <w:t>TRAINIT</w:t>
      </w:r>
    </w:p>
    <w:p>
      <w:pPr>
        <w:spacing w:before="0" w:after="140"/>
      </w:pPr>
      <w:r>
        <w:rPr>
          <w:rFonts w:ascii="Calibri" w:hAnsi="Calibri"/>
          <w:b/>
          <w:i w:val="0"/>
          <w:color w:val="102238"/>
          <w:sz w:val="48"/>
        </w:rPr>
        <w:t>Implementation Roadmap, Acceptance Test and Operations Plan</w:t>
      </w:r>
    </w:p>
    <w:p>
      <w:pPr>
        <w:spacing w:after="360"/>
      </w:pPr>
      <w:r>
        <w:rPr>
          <w:rFonts w:ascii="Calibri" w:hAnsi="Calibri"/>
          <w:b w:val="0"/>
          <w:i w:val="0"/>
          <w:color w:val="657386"/>
          <w:sz w:val="26"/>
        </w:rPr>
        <w:t>Approval gates, quality strategy, cutover, support and future extension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Document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TRN-IMP-001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Version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0.1 - Draft for review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Prepared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14 August 2026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Purpose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Turn the approved design into a controlled implementation with measurable acceptance and safe operations.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02238"/>
                <w:sz w:val="19"/>
              </w:rPr>
              <w:t>Execution status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02238"/>
                <w:sz w:val="19"/>
              </w:rPr>
              <w:t>Design only - no migration, import, generator, database, or deployment command has been run</w:t>
            </w:r>
          </w:p>
        </w:tc>
      </w:tr>
    </w:tbl>
    <w:p>
      <w:pPr>
        <w:spacing w:before="280" w:after="0"/>
        <w:shd w:fill="E7F5F3"/>
      </w:pPr>
      <w:r>
        <w:rPr>
          <w:rFonts w:ascii="Calibri" w:hAnsi="Calibri"/>
          <w:b/>
          <w:i w:val="0"/>
          <w:color w:val="0C8F86"/>
          <w:sz w:val="20"/>
        </w:rPr>
        <w:t xml:space="preserve">DESIGN PRINCIPLE  </w:t>
      </w:r>
      <w:r>
        <w:rPr>
          <w:rFonts w:ascii="Calibri" w:hAnsi="Calibri"/>
          <w:b w:val="0"/>
          <w:i w:val="0"/>
          <w:color w:val="102238"/>
          <w:sz w:val="20"/>
        </w:rPr>
        <w:t>One public identity, one shared registration path, controlled role elevation, request-centred collaboration, auditable time, and explainable billing.</w:t>
      </w:r>
    </w:p>
    <w:p>
      <w:pPr>
        <w:pStyle w:val="Heading1"/>
      </w:pPr>
      <w:r>
        <w:t>1. Delivery strategy</w:t>
      </w:r>
    </w:p>
    <w:p>
      <w:r>
        <w:rPr>
          <w:rFonts w:ascii="Calibri" w:hAnsi="Calibri"/>
          <w:b w:val="0"/>
          <w:i w:val="0"/>
          <w:color w:val="102238"/>
          <w:sz w:val="22"/>
        </w:rPr>
        <w:t>Deliver in vertical slices that prove one end-to-end business outcome at a time. The first usable slice is not 'all tables generated'; it is common registration -&gt; application -&gt; review -&gt; approved role/profile. The second is client request -&gt; assignment -&gt; communication -&gt; approved time. The third is billing period -&gt; invoice -&gt; manual payment -&gt; receipt/audit.</w:t>
      </w:r>
    </w:p>
    <w:p>
      <w:pPr>
        <w:pStyle w:val="Heading1"/>
      </w:pPr>
      <w:r>
        <w:t>2. Phases and approval gates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550"/>
        <w:gridCol w:w="351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Phase</w:t>
            </w:r>
          </w:p>
        </w:tc>
        <w:tc>
          <w:tcPr>
            <w:tcW w:type="dxa" w:w="4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Outputs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Exit gate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0. Design approval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Requirements, roles, terms, billing policy, entity names, command plan, UX direction.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Named owner approves open decisions and execution scope.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1. Safe reconstruction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Legacy backup, master copy, Trainit identity, blank DB, demo isolation, public pages/theme port.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Hashes/backups recorded; public routes render; no demo leakage.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2. Identity and vetting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Registration, role seeds, applications, documents, review workflow, approval promotion.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Privilege-escalation tests pass; application audit complete.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3. Services and clients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Catalogue, pricing, organisation memberships, service plans, managers/billing owners.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Effective-dated prices and client scoping proven.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4. Request delivery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Request intake, SLA, assignments, request workspace, shared/internal communication, notifications.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Client isolation, assignee isolation and SLA queues pass UAT.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5. Time and billing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Time workflow, billing engine, invoice PDF/delivery, credits, manual payment/allocation.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Golden billing cases, idempotency and reversal tests pass.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6. Reporting and hardening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Dashboards, exports, accessibility, performance, backup/restore, monitoring, security review.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Operational readiness checklist signed.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7. Pilot and cutover</w:t>
            </w:r>
          </w:p>
        </w:tc>
        <w:tc>
          <w:tcPr>
            <w:tcW w:type="dxa" w:w="4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Selected clients/services, parallel invoice comparison, training, support and rollback window.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Pilot invoices reconcile; sponsor approves broad rollout.</w:t>
            </w:r>
          </w:p>
        </w:tc>
      </w:tr>
    </w:tbl>
    <w:p>
      <w:pPr>
        <w:spacing w:after="20"/>
      </w:pPr>
    </w:p>
    <w:p>
      <w:pPr>
        <w:pStyle w:val="Heading1"/>
      </w:pPr>
      <w:r>
        <w:t>3. Prioritised backlog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79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Priority</w:t>
            </w:r>
          </w:p>
        </w:tc>
        <w:tc>
          <w:tcPr>
            <w:tcW w:type="dxa" w:w="7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Capabilities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Must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Common registration; applications/vetting; role and record access; service/client plans; request/assignment/messages; time approval; fixed+excess billing; invoice issue; manual payments; in-app/email; audit/backups.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Should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SLA escalation, client hour-threshold alerts, estimate approval, availability/workload matching, credit notes, delivery retries, CSV exports, mobile-optimised time entry.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Could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Email reply ingestion, SMS, configurable approval chains, service bundles/pooling, client satisfaction, professional ratings, richer workload forecasting.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Later</w:t>
            </w:r>
          </w:p>
        </w:tc>
        <w:tc>
          <w:tcPr>
            <w:tcW w:type="dxa" w:w="7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Payment gateway, Associate/Apprentice payouts, native apps, external vetting integrations, PostgreSQL migration, accounting package integration.</w:t>
            </w:r>
          </w:p>
        </w:tc>
      </w:tr>
    </w:tbl>
    <w:p>
      <w:pPr>
        <w:spacing w:after="20"/>
      </w:pPr>
    </w:p>
    <w:p>
      <w:pPr>
        <w:pStyle w:val="Heading1"/>
      </w:pPr>
      <w:r>
        <w:t>4. Acceptance scenarios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000"/>
        <w:gridCol w:w="64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ID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Scenario</w:t>
            </w:r>
          </w:p>
        </w:tc>
        <w:tc>
          <w:tcPr>
            <w:tcW w:type="dxa" w:w="6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5"/>
              </w:rPr>
              <w:t>Pass condition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Public registration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visitor registers and receives only Registered User access, even if a different role is posted.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Professional vetting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An applicant saves/submits qualifications, experience and expertise; a reviewer requests changes; approval creates the correct professional role/profile with audit history.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Client vetting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client submits organisation/service needs; approval creates organisation, primary membership and scoped dashboard.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Organisation isolation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client user cannot view, enumerate, download or infer another client's requests, invoices, messages or files.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Request assignment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manager triages a request and assigns an eligible Associate/Apprentice with rate snapshot; assignee accepts/declines; history remains.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Communication visibility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Shared messages reach authorised participants; internal notes and restricted attachments never appear to clients.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Time approval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Assignee submits time; invalid/overlap entries warn; rejection returns to draft; approval locks required fields.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Included-hours split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time entry crossing the monthly threshold is split into included/excess invoiceusage allocations without changing original hours.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Mixed-tier billing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Excess Apprentice and Associate portions use their respective immutable assignment rates; rerunning calculation produces the same draft, not duplicates.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AT-10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Invoice issue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Only an approved valid draft can receive an invoice number; issue locks sources and creates immutable PDF/delivery event.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AT-11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Manual payment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Billing Officer records evidence and allocates a partial payment; balance/status update; duplicate warning works.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Reversal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Authorised reversal retains original payment, reason and audit; balance restores correctly.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AT-13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Notification failure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Business transaction commits, failed email retries, in-app notification remains visible and operations sees the failure.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AT-14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Backup/restore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 documented restore recreates a consistent database/files snapshot and integrity/foreign-key checks pass.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AT-15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Accessibility/mobile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5"/>
              </w:rPr>
              <w:t>Core registration, request, message, assignment and time workflows work by keyboard and at mobile width without clipped controls.</w:t>
            </w:r>
          </w:p>
        </w:tc>
      </w:tr>
    </w:tbl>
    <w:p>
      <w:pPr>
        <w:spacing w:after="20"/>
      </w:pPr>
    </w:p>
    <w:p>
      <w:pPr>
        <w:pStyle w:val="Heading1"/>
      </w:pPr>
      <w:r>
        <w:t>5. Test strategy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Layer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Coverage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Static checks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PHP lint for generated/current files, JavaScript syntax/lint where configured, dependency audit and secret scan.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Unit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State-transition guards, permissions, money/rounding, included-hours allocation, rate selection, SLA clocks and notification routing.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Database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Migrations up/down on disposable DB, constraints/indexes, transactions, idempotency, integrity_check and foreign_key_check.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Integration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Registration/application approval, request assignment, time approval, invoice issue, payment allocation/reversal and outbox delivery.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Security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Role posting, IDOR/record isolation, CSRF, XSS, SQL injection, file upload/download, rate limit, session/reset and audit redaction.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Golden billing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Fixed only, under threshold, exactly threshold, threshold split, mixed levels/rates, rejected/unbillable time, late adjustments, taxes/credits, rerun.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UX/accessibility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Keyboard, focus, labels/errors, contrast, screen-reader semantics, mobile layout and action feedback.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Operational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Email outage/retry, database busy handling, backup/restore, log correlation, invoice PDF reproducibility and scheduled billing rehearsal.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UAT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Representative client, Associate, Apprentice, Service Manager, Vetting Officer and Billing Officer complete realistic scenarios with no admin shortcuts.</w:t>
            </w:r>
          </w:p>
        </w:tc>
      </w:tr>
    </w:tbl>
    <w:p>
      <w:pPr>
        <w:spacing w:after="20"/>
      </w:pPr>
    </w:p>
    <w:p>
      <w:pPr>
        <w:pStyle w:val="Heading1"/>
      </w:pPr>
      <w:r>
        <w:t>6. Definition of done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Requirements and acceptance criteria for the slice are linked to code/tests and approved by the product owner.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No generated module is exposed before schema, access, navigation and workflow specialisation reviews.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All mutations validate authorisation server-side and create required history/audit events.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Database migrations, indexes and rollback/recovery notes are included; disposable migration tests pass.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Errors are actionable for users and safe for logs; no passwords, reset tokens, private message bodies or uploaded evidence leak into logs.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Responsive/keyboard/accessibility review is complete for new screens.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Billing-affecting changes include golden examples and reconciliation evidence.</w:t>
      </w:r>
    </w:p>
    <w:p>
      <w:pPr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102238"/>
          <w:sz w:val="22"/>
        </w:rPr>
        <w:t>Documentation, operational runbook and support ownership are updated before release.</w:t>
      </w:r>
    </w:p>
    <w:p>
      <w:pPr>
        <w:pStyle w:val="Heading1"/>
      </w:pPr>
      <w:r>
        <w:t>7. Cutover plan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Approve a release candidate and freeze schema/content changes for the cutover window.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Create verified database and file backups; record hashes, permissions and restore location.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Run migrations and seed reference data in staging, then repeat from a clean copy to prove reproducibility.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Deploy a narrow approved file set or controlled release package; set production secret/environment outside public content.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Run real GET/login/role/record-scope smoke tests, create no uncontrolled financial records, and verify email queue behaviour.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Onboard a pilot client/service and run at least one billing period in parallel with the existing manual calculation.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Reconcile every pilot invoice line and payment; resolve variances before wider rollout.</w:t>
      </w:r>
    </w:p>
    <w:p>
      <w:pPr>
        <w:numPr>
          <w:ilvl w:val="0"/>
          <w:numId w:val="11"/>
        </w:numPr>
      </w:pPr>
      <w:r>
        <w:rPr>
          <w:rFonts w:ascii="Calibri" w:hAnsi="Calibri"/>
          <w:b w:val="0"/>
          <w:i w:val="0"/>
          <w:color w:val="102238"/>
          <w:sz w:val="22"/>
        </w:rPr>
        <w:t>Keep the rollback package and legacy static site available until acceptance and a defined stability period are complete.</w:t>
      </w:r>
    </w:p>
    <w:p>
      <w:pPr>
        <w:pStyle w:val="Heading1"/>
      </w:pPr>
      <w:r>
        <w:t>8. Operations runbook requirements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Routine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Minimum procedure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Daily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Review unassigned/SLA-risk requests, failed notifications, payment exceptions, application queue and error logs.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Weekly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Review overdue time approvals, professional availability/capacity, storage growth, audit anomalies and backup success.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Monthly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Open billing periods, resolve exceptions, approve/issue invoices, reconcile payments, review receivables and close periods.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Backup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Database plus private files and configuration/secrets references; encrypted off-host copy; retention schedule; monitored success.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Restore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Named owner, exact commands/locations, recovery targets, integrity checks, file/database consistency and rehearsal schedule.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Access review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Active users, client memberships, professional status, privileged roles, suspended/leaver accounts and stale sessions.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Incident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Severity, owner, containment, evidence, client communication, recovery, postmortem and corrective-action tracking.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Billing correction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 edits to issued facts; use credit, adjustment or payment reversal with approval and client communication.</w:t>
            </w:r>
          </w:p>
        </w:tc>
      </w:tr>
    </w:tbl>
    <w:p>
      <w:pPr>
        <w:spacing w:after="20"/>
      </w:pPr>
    </w:p>
    <w:p>
      <w:pPr>
        <w:pStyle w:val="Heading1"/>
      </w:pPr>
      <w:r>
        <w:t>9. Risks, decisions and owners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00"/>
        <w:gridCol w:w="2300"/>
        <w:gridCol w:w="2160"/>
      </w:tblGrid>
      <w:tr>
        <w:trPr>
          <w:tblHeader w:val="true"/>
        </w:trPr>
        <w:tc>
          <w:tcPr>
            <w:tcW w:type="dxa" w:w="4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Decision / risk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Required owner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02238"/>
                <w:sz w:val="16"/>
              </w:rPr>
              <w:t>Needed before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Production rates, included hours, currencies, tax and due terms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Finance/Product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Billing implementation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Time approval chain and client approval rights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Operations/Product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Time workflow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Professional vetting evidence and retention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Vetting/Legal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Application launch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 membership roles and who may see finance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Operations/Finance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Client portal UAT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 SLA calendar and pause rules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Service leadership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SLA notifications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Email provider/from address/delivery monitoring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Technical operations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Notification UAT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SQLite scaling threshold and PostgreSQL trigger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Technical lead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Production readiness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Backup/restore RPO and RTO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Business owner/Technical ops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Go-live</w:t>
            </w:r>
          </w:p>
        </w:tc>
      </w:tr>
      <w:t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Pilot clients and parallel-run acceptance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Product/Finance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102238"/>
                <w:sz w:val="16"/>
              </w:rPr>
              <w:t>Cutover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 w:val="0"/>
        <w:color w:val="657386"/>
        <w:sz w:val="17"/>
      </w:rPr>
      <w:t xml:space="preserve">Trainit - Confidential draft  |  Page </w:t>
    </w:r>
    <w:r>
      <w:rPr>
        <w:rFonts w:ascii="Calibri" w:hAnsi="Calibri"/>
        <w:b w:val="0"/>
        <w:i w:val="0"/>
        <w:color w:val="65738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57386"/>
        <w:sz w:val="17"/>
      </w:rPr>
      <w:t>TRAINIT PORTAL DESIGN  |  DELIVERY AND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102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6B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6BD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02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 and test plan</dc:title>
  <dc:subject>Trainit client service, workforce and billing portal design</dc:subject>
  <dc:creator>Trainit</dc:creator>
  <cp:keywords>Trainit, portal, PHP, SQLite, service requests, billing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