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D6407" w14:textId="1F6B094C" w:rsidR="00E93163" w:rsidRDefault="00E93163" w:rsidP="00E93163">
      <w:pPr>
        <w:pStyle w:val="Heading1"/>
      </w:pPr>
      <w:r>
        <w:t>Target 8.10: Universal access to banking, insurance and financial services</w:t>
      </w:r>
    </w:p>
    <w:p w14:paraId="68505B2F" w14:textId="77777777" w:rsidR="00E93163" w:rsidRPr="00E93163" w:rsidRDefault="00E93163" w:rsidP="00E93163"/>
    <w:p w14:paraId="21832CE6" w14:textId="6E3E75AB" w:rsidR="00E93163" w:rsidRPr="00E93163" w:rsidRDefault="00E93163" w:rsidP="00E93163">
      <w:pPr>
        <w:spacing w:line="276" w:lineRule="auto"/>
        <w:rPr>
          <w:sz w:val="24"/>
          <w:szCs w:val="24"/>
        </w:rPr>
      </w:pPr>
      <w:r w:rsidRPr="00E93163">
        <w:rPr>
          <w:sz w:val="24"/>
          <w:szCs w:val="24"/>
        </w:rPr>
        <w:t xml:space="preserve">UN definition: Strengthen the capacity of domestic financial institutions to encourage and expand access to banking, </w:t>
      </w:r>
      <w:r w:rsidRPr="00E93163">
        <w:rPr>
          <w:sz w:val="24"/>
          <w:szCs w:val="24"/>
        </w:rPr>
        <w:t>insurance,</w:t>
      </w:r>
      <w:r w:rsidRPr="00E93163">
        <w:rPr>
          <w:sz w:val="24"/>
          <w:szCs w:val="24"/>
        </w:rPr>
        <w:t xml:space="preserve"> and financial services for all.</w:t>
      </w:r>
    </w:p>
    <w:p w14:paraId="405E2A8D" w14:textId="77777777" w:rsidR="00E93163" w:rsidRPr="00E93163" w:rsidRDefault="00E93163" w:rsidP="00E93163">
      <w:pPr>
        <w:spacing w:line="276" w:lineRule="auto"/>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316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SDG INDICATOR 8.10.1</w:t>
      </w:r>
    </w:p>
    <w:p w14:paraId="7793497F" w14:textId="77777777" w:rsidR="00E93163" w:rsidRPr="00E93163" w:rsidRDefault="00E93163" w:rsidP="00E93163">
      <w:pPr>
        <w:spacing w:line="276" w:lineRule="auto"/>
        <w:rPr>
          <w:sz w:val="24"/>
          <w:szCs w:val="24"/>
        </w:rPr>
      </w:pPr>
      <w:r w:rsidRPr="00E93163">
        <w:rPr>
          <w:sz w:val="24"/>
          <w:szCs w:val="24"/>
        </w:rPr>
        <w:t>Access to financial services</w:t>
      </w:r>
    </w:p>
    <w:p w14:paraId="68778B04" w14:textId="77777777" w:rsidR="00E93163" w:rsidRPr="00E93163" w:rsidRDefault="00E93163" w:rsidP="00E93163">
      <w:pPr>
        <w:spacing w:line="276" w:lineRule="auto"/>
        <w:rPr>
          <w:sz w:val="24"/>
          <w:szCs w:val="24"/>
        </w:rPr>
      </w:pPr>
      <w:r w:rsidRPr="00E93163">
        <w:rPr>
          <w:sz w:val="24"/>
          <w:szCs w:val="24"/>
        </w:rPr>
        <w:t>Definition: Indicator 8.10.1 is the (a) Number of commercial bank branches per 100,000 adults and (b) number of automated teller machines (ATMs) per 100,000 adults.</w:t>
      </w:r>
    </w:p>
    <w:p w14:paraId="4D1CF849" w14:textId="77777777" w:rsidR="00E93163" w:rsidRPr="00E93163" w:rsidRDefault="00E93163" w:rsidP="00E93163">
      <w:pPr>
        <w:spacing w:line="276" w:lineRule="auto"/>
        <w:rPr>
          <w:sz w:val="24"/>
          <w:szCs w:val="24"/>
        </w:rPr>
      </w:pPr>
    </w:p>
    <w:p w14:paraId="6B6DEE92" w14:textId="77777777" w:rsidR="00E93163" w:rsidRPr="00E93163" w:rsidRDefault="00E93163" w:rsidP="00E93163">
      <w:pPr>
        <w:spacing w:line="276" w:lineRule="auto"/>
        <w:rPr>
          <w:sz w:val="24"/>
          <w:szCs w:val="24"/>
        </w:rPr>
      </w:pPr>
      <w:r w:rsidRPr="00E93163">
        <w:rPr>
          <w:sz w:val="24"/>
          <w:szCs w:val="24"/>
        </w:rPr>
        <w:t>Data presented here details the number of commercial bank branches and ATMs per 100,000 people in a given country.</w:t>
      </w:r>
    </w:p>
    <w:p w14:paraId="73664003" w14:textId="77777777" w:rsidR="00E93163" w:rsidRPr="00E93163" w:rsidRDefault="00E93163" w:rsidP="00E93163">
      <w:pPr>
        <w:spacing w:line="276" w:lineRule="auto"/>
        <w:rPr>
          <w:sz w:val="24"/>
          <w:szCs w:val="24"/>
        </w:rPr>
      </w:pPr>
    </w:p>
    <w:p w14:paraId="34B29F5D" w14:textId="77777777" w:rsidR="00E93163" w:rsidRPr="00E93163" w:rsidRDefault="00E93163" w:rsidP="00E93163">
      <w:pPr>
        <w:spacing w:line="276" w:lineRule="auto"/>
        <w:rPr>
          <w:sz w:val="24"/>
          <w:szCs w:val="24"/>
        </w:rPr>
      </w:pPr>
      <w:r w:rsidRPr="00E93163">
        <w:rPr>
          <w:sz w:val="24"/>
          <w:szCs w:val="24"/>
        </w:rPr>
        <w:t>Goal: Strengthen the capacity of domestic financial institutions by 2030.</w:t>
      </w:r>
    </w:p>
    <w:p w14:paraId="43987865" w14:textId="77777777" w:rsidR="00E93163" w:rsidRPr="00E93163" w:rsidRDefault="00E93163" w:rsidP="00E93163">
      <w:pPr>
        <w:spacing w:line="276" w:lineRule="auto"/>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3163">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SDG INDICATOR 8.10.2</w:t>
      </w:r>
    </w:p>
    <w:p w14:paraId="4B4F8AB7" w14:textId="77777777" w:rsidR="00E93163" w:rsidRPr="00E93163" w:rsidRDefault="00E93163" w:rsidP="00E93163">
      <w:pPr>
        <w:spacing w:line="276" w:lineRule="auto"/>
        <w:rPr>
          <w:sz w:val="24"/>
          <w:szCs w:val="24"/>
        </w:rPr>
      </w:pPr>
      <w:r w:rsidRPr="00E93163">
        <w:rPr>
          <w:sz w:val="24"/>
          <w:szCs w:val="24"/>
        </w:rPr>
        <w:t>Population with financial account</w:t>
      </w:r>
    </w:p>
    <w:p w14:paraId="45896805" w14:textId="77777777" w:rsidR="00E93163" w:rsidRPr="00E93163" w:rsidRDefault="00E93163" w:rsidP="00E93163">
      <w:pPr>
        <w:spacing w:line="276" w:lineRule="auto"/>
        <w:rPr>
          <w:sz w:val="24"/>
          <w:szCs w:val="24"/>
        </w:rPr>
      </w:pPr>
      <w:r w:rsidRPr="00E93163">
        <w:rPr>
          <w:sz w:val="24"/>
          <w:szCs w:val="24"/>
        </w:rPr>
        <w:t>Definition: Indicator 8.10.2 is the proportion of adults (15 years and older) with an account at a bank or other financial institution or with a mobile-money-service provider.</w:t>
      </w:r>
    </w:p>
    <w:p w14:paraId="436863FA" w14:textId="77777777" w:rsidR="00E93163" w:rsidRPr="00E93163" w:rsidRDefault="00E93163" w:rsidP="00E93163">
      <w:pPr>
        <w:spacing w:line="276" w:lineRule="auto"/>
        <w:rPr>
          <w:sz w:val="24"/>
          <w:szCs w:val="24"/>
        </w:rPr>
      </w:pPr>
    </w:p>
    <w:p w14:paraId="16D057B2" w14:textId="77777777" w:rsidR="00E93163" w:rsidRPr="00E93163" w:rsidRDefault="00E93163" w:rsidP="00E93163">
      <w:pPr>
        <w:spacing w:line="276" w:lineRule="auto"/>
        <w:rPr>
          <w:sz w:val="24"/>
          <w:szCs w:val="24"/>
        </w:rPr>
      </w:pPr>
      <w:r w:rsidRPr="00E93163">
        <w:rPr>
          <w:sz w:val="24"/>
          <w:szCs w:val="24"/>
        </w:rPr>
        <w:t>Data presented here details the percentage of adults (aged 15 and older) who report having an account (by themselves or together with someone else) at a bank or another type of financial institution.</w:t>
      </w:r>
    </w:p>
    <w:p w14:paraId="51C11464" w14:textId="77777777" w:rsidR="00E93163" w:rsidRPr="00E93163" w:rsidRDefault="00E93163" w:rsidP="00E93163">
      <w:pPr>
        <w:spacing w:line="276" w:lineRule="auto"/>
        <w:rPr>
          <w:sz w:val="24"/>
          <w:szCs w:val="24"/>
        </w:rPr>
      </w:pPr>
    </w:p>
    <w:p w14:paraId="77381A2A" w14:textId="77777777" w:rsidR="00E93163" w:rsidRPr="00E93163" w:rsidRDefault="00E93163" w:rsidP="00E93163">
      <w:pPr>
        <w:spacing w:line="276" w:lineRule="auto"/>
        <w:rPr>
          <w:sz w:val="24"/>
          <w:szCs w:val="24"/>
        </w:rPr>
      </w:pPr>
      <w:r w:rsidRPr="00E93163">
        <w:rPr>
          <w:sz w:val="24"/>
          <w:szCs w:val="24"/>
        </w:rPr>
        <w:t>Goal: Encourage and expand access to banking, insurance and financial services for all by 2030.</w:t>
      </w:r>
    </w:p>
    <w:p w14:paraId="3E50B54B" w14:textId="77777777" w:rsidR="00E93163" w:rsidRPr="00E93163" w:rsidRDefault="00E93163" w:rsidP="00E93163">
      <w:pPr>
        <w:spacing w:line="276" w:lineRule="auto"/>
        <w:rPr>
          <w:sz w:val="24"/>
          <w:szCs w:val="24"/>
        </w:rPr>
      </w:pPr>
    </w:p>
    <w:p w14:paraId="3947D7C9" w14:textId="77777777" w:rsidR="00E93163" w:rsidRPr="00E93163" w:rsidRDefault="00E93163" w:rsidP="00E93163">
      <w:pPr>
        <w:spacing w:line="276" w:lineRule="auto"/>
        <w:rPr>
          <w:sz w:val="24"/>
          <w:szCs w:val="24"/>
        </w:rPr>
      </w:pPr>
    </w:p>
    <w:p w14:paraId="142E162F" w14:textId="77777777" w:rsidR="00E93163" w:rsidRPr="00E93163" w:rsidRDefault="00E93163" w:rsidP="00E93163">
      <w:pPr>
        <w:spacing w:line="276" w:lineRule="auto"/>
        <w:rPr>
          <w:sz w:val="24"/>
          <w:szCs w:val="24"/>
        </w:rPr>
      </w:pPr>
      <w:r w:rsidRPr="00E93163">
        <w:rPr>
          <w:sz w:val="24"/>
          <w:szCs w:val="24"/>
        </w:rPr>
        <w:t>Additional charts:</w:t>
      </w:r>
    </w:p>
    <w:p w14:paraId="4715CC96" w14:textId="77777777" w:rsidR="00E93163" w:rsidRPr="00E93163" w:rsidRDefault="00E93163" w:rsidP="00E93163">
      <w:pPr>
        <w:spacing w:line="276" w:lineRule="auto"/>
        <w:rPr>
          <w:sz w:val="24"/>
          <w:szCs w:val="24"/>
        </w:rPr>
      </w:pPr>
      <w:r w:rsidRPr="00E93163">
        <w:rPr>
          <w:sz w:val="24"/>
          <w:szCs w:val="24"/>
        </w:rPr>
        <w:t>Registered mobile money reports by region</w:t>
      </w:r>
    </w:p>
    <w:p w14:paraId="2A566338" w14:textId="77777777" w:rsidR="00E93163" w:rsidRPr="00E93163" w:rsidRDefault="00E93163" w:rsidP="00E93163">
      <w:pPr>
        <w:spacing w:line="276" w:lineRule="auto"/>
        <w:rPr>
          <w:sz w:val="24"/>
          <w:szCs w:val="24"/>
        </w:rPr>
      </w:pPr>
    </w:p>
    <w:p w14:paraId="4F29352F" w14:textId="77777777" w:rsidR="00E93163" w:rsidRPr="00E93163" w:rsidRDefault="00E93163" w:rsidP="00E93163">
      <w:pPr>
        <w:spacing w:line="276" w:lineRule="auto"/>
        <w:rPr>
          <w:sz w:val="24"/>
          <w:szCs w:val="24"/>
        </w:rPr>
      </w:pPr>
      <w:r w:rsidRPr="00E93163">
        <w:rPr>
          <w:sz w:val="24"/>
          <w:szCs w:val="24"/>
        </w:rPr>
        <w:lastRenderedPageBreak/>
        <w:t>Additional charts:</w:t>
      </w:r>
    </w:p>
    <w:p w14:paraId="7AEA1DBE" w14:textId="77777777" w:rsidR="00E93163" w:rsidRPr="00E93163" w:rsidRDefault="00E93163" w:rsidP="00E93163">
      <w:pPr>
        <w:spacing w:line="276" w:lineRule="auto"/>
        <w:rPr>
          <w:sz w:val="24"/>
          <w:szCs w:val="24"/>
        </w:rPr>
      </w:pPr>
      <w:r w:rsidRPr="00E93163">
        <w:rPr>
          <w:sz w:val="24"/>
          <w:szCs w:val="24"/>
        </w:rPr>
        <w:t>Registered mobile money reports by region</w:t>
      </w:r>
    </w:p>
    <w:p w14:paraId="028401C8" w14:textId="77777777" w:rsidR="00E93163" w:rsidRPr="00E93163" w:rsidRDefault="00E93163" w:rsidP="00E93163">
      <w:pPr>
        <w:spacing w:line="276" w:lineRule="auto"/>
        <w:rPr>
          <w:sz w:val="24"/>
          <w:szCs w:val="24"/>
        </w:rPr>
      </w:pPr>
      <w:r w:rsidRPr="00E93163">
        <w:rPr>
          <w:sz w:val="24"/>
          <w:szCs w:val="24"/>
        </w:rPr>
        <w:t>Commercial bank branches, 2019</w:t>
      </w:r>
    </w:p>
    <w:p w14:paraId="1D44FD98" w14:textId="77777777" w:rsidR="00E93163" w:rsidRPr="00E93163" w:rsidRDefault="00E93163" w:rsidP="00E93163">
      <w:pPr>
        <w:spacing w:line="276" w:lineRule="auto"/>
        <w:rPr>
          <w:sz w:val="24"/>
          <w:szCs w:val="24"/>
        </w:rPr>
      </w:pPr>
    </w:p>
    <w:p w14:paraId="7AC182F0" w14:textId="77777777" w:rsidR="00E93163" w:rsidRPr="00E93163" w:rsidRDefault="00E93163" w:rsidP="00E93163">
      <w:pPr>
        <w:spacing w:line="276" w:lineRule="auto"/>
        <w:rPr>
          <w:sz w:val="24"/>
          <w:szCs w:val="24"/>
        </w:rPr>
      </w:pPr>
      <w:r w:rsidRPr="00E93163">
        <w:rPr>
          <w:sz w:val="24"/>
          <w:szCs w:val="24"/>
        </w:rPr>
        <w:t>Number of commercial bank branches per 100,000 adults. Commercial bank</w:t>
      </w:r>
    </w:p>
    <w:p w14:paraId="6CC93668" w14:textId="77777777" w:rsidR="00E93163" w:rsidRPr="00E93163" w:rsidRDefault="00E93163" w:rsidP="00E93163">
      <w:pPr>
        <w:spacing w:line="276" w:lineRule="auto"/>
        <w:rPr>
          <w:sz w:val="24"/>
          <w:szCs w:val="24"/>
        </w:rPr>
      </w:pPr>
      <w:r w:rsidRPr="00E93163">
        <w:rPr>
          <w:sz w:val="24"/>
          <w:szCs w:val="24"/>
        </w:rPr>
        <w:t>branches are retail locations of resident commercial banks and other resident</w:t>
      </w:r>
    </w:p>
    <w:p w14:paraId="7E39327B" w14:textId="77777777" w:rsidR="00E93163" w:rsidRPr="00E93163" w:rsidRDefault="00E93163" w:rsidP="00E93163">
      <w:pPr>
        <w:spacing w:line="276" w:lineRule="auto"/>
        <w:rPr>
          <w:sz w:val="24"/>
          <w:szCs w:val="24"/>
        </w:rPr>
      </w:pPr>
      <w:r w:rsidRPr="00E93163">
        <w:rPr>
          <w:sz w:val="24"/>
          <w:szCs w:val="24"/>
        </w:rPr>
        <w:t>banks that function as commercial banks to provide financial services to</w:t>
      </w:r>
    </w:p>
    <w:p w14:paraId="73529EE1" w14:textId="77777777" w:rsidR="00E93163" w:rsidRPr="00E93163" w:rsidRDefault="00E93163" w:rsidP="00E93163">
      <w:pPr>
        <w:spacing w:line="276" w:lineRule="auto"/>
        <w:rPr>
          <w:sz w:val="24"/>
          <w:szCs w:val="24"/>
        </w:rPr>
      </w:pPr>
      <w:r w:rsidRPr="00E93163">
        <w:rPr>
          <w:sz w:val="24"/>
          <w:szCs w:val="24"/>
        </w:rPr>
        <w:t>customers.</w:t>
      </w:r>
    </w:p>
    <w:p w14:paraId="43A603DE" w14:textId="77777777" w:rsidR="00E93163" w:rsidRPr="00E93163" w:rsidRDefault="00E93163" w:rsidP="00E93163">
      <w:pPr>
        <w:spacing w:line="276" w:lineRule="auto"/>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3163">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Sources</w:t>
      </w:r>
    </w:p>
    <w:p w14:paraId="52EF254D" w14:textId="77777777" w:rsidR="00E93163" w:rsidRPr="00E93163" w:rsidRDefault="00E93163" w:rsidP="00E93163">
      <w:pPr>
        <w:spacing w:line="276" w:lineRule="auto"/>
        <w:rPr>
          <w:sz w:val="24"/>
          <w:szCs w:val="24"/>
        </w:rPr>
      </w:pPr>
      <w:r w:rsidRPr="00E93163">
        <w:rPr>
          <w:sz w:val="24"/>
          <w:szCs w:val="24"/>
        </w:rPr>
        <w:t>COMMERCIAL BANK BRANCHES (PER 100,000 ADULTS)</w:t>
      </w:r>
    </w:p>
    <w:p w14:paraId="3B76EA04" w14:textId="77777777" w:rsidR="00E93163" w:rsidRPr="00E93163" w:rsidRDefault="00E93163" w:rsidP="00E93163">
      <w:pPr>
        <w:spacing w:line="276" w:lineRule="auto"/>
        <w:rPr>
          <w:sz w:val="24"/>
          <w:szCs w:val="24"/>
        </w:rPr>
      </w:pPr>
      <w:r w:rsidRPr="00E93163">
        <w:rPr>
          <w:sz w:val="24"/>
          <w:szCs w:val="24"/>
        </w:rPr>
        <w:t>Variable description</w:t>
      </w:r>
      <w:r w:rsidRPr="00E93163">
        <w:rPr>
          <w:sz w:val="24"/>
          <w:szCs w:val="24"/>
        </w:rPr>
        <w:tab/>
        <w:t>Commercial bank branches are retail locations of resident commercial banks and other resident banks that function as commercial banks that provide financial services to customers and are physically separated from the main office but not organized as legally separated subsidiaries.</w:t>
      </w:r>
    </w:p>
    <w:p w14:paraId="5BFC7CA2" w14:textId="77777777" w:rsidR="00E93163" w:rsidRPr="00E93163" w:rsidRDefault="00E93163" w:rsidP="00E93163">
      <w:pPr>
        <w:spacing w:line="276" w:lineRule="auto"/>
        <w:rPr>
          <w:sz w:val="24"/>
          <w:szCs w:val="24"/>
        </w:rPr>
      </w:pPr>
    </w:p>
    <w:p w14:paraId="00464340" w14:textId="77777777" w:rsidR="00E93163" w:rsidRPr="00E93163" w:rsidRDefault="00E93163" w:rsidP="00E93163">
      <w:pPr>
        <w:spacing w:line="276" w:lineRule="auto"/>
        <w:rPr>
          <w:sz w:val="24"/>
          <w:szCs w:val="24"/>
        </w:rPr>
      </w:pPr>
      <w:r w:rsidRPr="00E93163">
        <w:rPr>
          <w:sz w:val="24"/>
          <w:szCs w:val="24"/>
        </w:rPr>
        <w:t>Limitations and exceptions: Population-based ratios of the number of branches and ATMs assume a uniform distribution of bank outlets within a country's area and across its population, while in most countries bank branches and ATMs are concentrated in urban centers of the country and are accessible only to some individuals.</w:t>
      </w:r>
    </w:p>
    <w:p w14:paraId="228E8D0C" w14:textId="77777777" w:rsidR="00E93163" w:rsidRPr="00E93163" w:rsidRDefault="00E93163" w:rsidP="00E93163">
      <w:pPr>
        <w:spacing w:line="276" w:lineRule="auto"/>
        <w:rPr>
          <w:sz w:val="24"/>
          <w:szCs w:val="24"/>
        </w:rPr>
      </w:pPr>
    </w:p>
    <w:p w14:paraId="51C5D1F0" w14:textId="77777777" w:rsidR="00E93163" w:rsidRPr="00E93163" w:rsidRDefault="00E93163" w:rsidP="00E93163">
      <w:pPr>
        <w:spacing w:line="276" w:lineRule="auto"/>
        <w:rPr>
          <w:sz w:val="24"/>
          <w:szCs w:val="24"/>
        </w:rPr>
      </w:pPr>
      <w:r w:rsidRPr="00E93163">
        <w:rPr>
          <w:sz w:val="24"/>
          <w:szCs w:val="24"/>
        </w:rPr>
        <w:t>Statistical concept and methodology: Data are shown as the number of branches of commercial banks for every 100,000 adults in the reporting country. It is calculated as (number of institutions + number of branches)*100,000/adult population in the reporting country.</w:t>
      </w:r>
    </w:p>
    <w:p w14:paraId="2D13BE7A" w14:textId="77777777" w:rsidR="00E93163" w:rsidRPr="00E93163" w:rsidRDefault="00E93163" w:rsidP="00E93163">
      <w:pPr>
        <w:spacing w:line="276" w:lineRule="auto"/>
        <w:rPr>
          <w:sz w:val="24"/>
          <w:szCs w:val="24"/>
        </w:rPr>
      </w:pPr>
      <w:r w:rsidRPr="00E93163">
        <w:rPr>
          <w:sz w:val="24"/>
          <w:szCs w:val="24"/>
        </w:rPr>
        <w:t>Variable time span</w:t>
      </w:r>
      <w:r w:rsidRPr="00E93163">
        <w:rPr>
          <w:sz w:val="24"/>
          <w:szCs w:val="24"/>
        </w:rPr>
        <w:tab/>
        <w:t>2004 – 2019</w:t>
      </w:r>
    </w:p>
    <w:p w14:paraId="697F2370" w14:textId="77777777" w:rsidR="00E93163" w:rsidRPr="00E93163" w:rsidRDefault="00E93163" w:rsidP="00E93163">
      <w:pPr>
        <w:spacing w:line="276" w:lineRule="auto"/>
        <w:rPr>
          <w:sz w:val="24"/>
          <w:szCs w:val="24"/>
        </w:rPr>
      </w:pPr>
      <w:r w:rsidRPr="00E93163">
        <w:rPr>
          <w:sz w:val="24"/>
          <w:szCs w:val="24"/>
        </w:rPr>
        <w:t>Data published by</w:t>
      </w:r>
      <w:r w:rsidRPr="00E93163">
        <w:rPr>
          <w:sz w:val="24"/>
          <w:szCs w:val="24"/>
        </w:rPr>
        <w:tab/>
        <w:t>World Development Indicators - World Bank (2021.07.30)</w:t>
      </w:r>
    </w:p>
    <w:p w14:paraId="4D7F66B7" w14:textId="77777777" w:rsidR="00E93163" w:rsidRPr="00E93163" w:rsidRDefault="00E93163" w:rsidP="00E93163">
      <w:pPr>
        <w:spacing w:line="276" w:lineRule="auto"/>
        <w:rPr>
          <w:sz w:val="24"/>
          <w:szCs w:val="24"/>
        </w:rPr>
      </w:pPr>
      <w:r w:rsidRPr="00E93163">
        <w:rPr>
          <w:sz w:val="24"/>
          <w:szCs w:val="24"/>
        </w:rPr>
        <w:t>Data publisher's source</w:t>
      </w:r>
      <w:r w:rsidRPr="00E93163">
        <w:rPr>
          <w:sz w:val="24"/>
          <w:szCs w:val="24"/>
        </w:rPr>
        <w:tab/>
        <w:t>Financial Access Survey - International Monetary Fund</w:t>
      </w:r>
    </w:p>
    <w:p w14:paraId="2B944AF4" w14:textId="77777777" w:rsidR="00E93163" w:rsidRPr="00E93163" w:rsidRDefault="00E93163" w:rsidP="00E93163">
      <w:pPr>
        <w:spacing w:line="276" w:lineRule="auto"/>
        <w:rPr>
          <w:sz w:val="24"/>
          <w:szCs w:val="24"/>
        </w:rPr>
      </w:pPr>
      <w:r w:rsidRPr="00E93163">
        <w:rPr>
          <w:sz w:val="24"/>
          <w:szCs w:val="24"/>
        </w:rPr>
        <w:t>Link</w:t>
      </w:r>
      <w:r w:rsidRPr="00E93163">
        <w:rPr>
          <w:sz w:val="24"/>
          <w:szCs w:val="24"/>
        </w:rPr>
        <w:tab/>
        <w:t>http://data.worldbank.org/data-catalog/world-development-indicators</w:t>
      </w:r>
    </w:p>
    <w:p w14:paraId="730C4FA0" w14:textId="77777777" w:rsidR="00E93163" w:rsidRPr="00E93163" w:rsidRDefault="00E93163" w:rsidP="00E93163">
      <w:pPr>
        <w:spacing w:line="276" w:lineRule="auto"/>
        <w:rPr>
          <w:sz w:val="24"/>
          <w:szCs w:val="24"/>
        </w:rPr>
      </w:pPr>
      <w:r w:rsidRPr="00E93163">
        <w:rPr>
          <w:sz w:val="24"/>
          <w:szCs w:val="24"/>
        </w:rPr>
        <w:t>Automated teller machines (ATMs), 2019</w:t>
      </w:r>
    </w:p>
    <w:p w14:paraId="3A5796ED" w14:textId="77777777" w:rsidR="00E93163" w:rsidRPr="00E93163" w:rsidRDefault="00E93163" w:rsidP="00E93163">
      <w:pPr>
        <w:spacing w:line="276" w:lineRule="auto"/>
        <w:rPr>
          <w:sz w:val="24"/>
          <w:szCs w:val="24"/>
        </w:rPr>
      </w:pPr>
      <w:r w:rsidRPr="00E93163">
        <w:rPr>
          <w:sz w:val="24"/>
          <w:szCs w:val="24"/>
        </w:rPr>
        <w:lastRenderedPageBreak/>
        <w:t>Number of automated teller machines (ATMs) per 100,000 adults. ATMs are</w:t>
      </w:r>
    </w:p>
    <w:p w14:paraId="4D45C7DB" w14:textId="7D50809B" w:rsidR="00E93163" w:rsidRPr="00E93163" w:rsidRDefault="0082467D" w:rsidP="00E93163">
      <w:pPr>
        <w:spacing w:line="276" w:lineRule="auto"/>
        <w:rPr>
          <w:sz w:val="24"/>
          <w:szCs w:val="24"/>
        </w:rPr>
      </w:pPr>
      <w:r w:rsidRPr="00E93163">
        <w:rPr>
          <w:sz w:val="24"/>
          <w:szCs w:val="24"/>
        </w:rPr>
        <w:t>computerized</w:t>
      </w:r>
      <w:r w:rsidR="00E93163" w:rsidRPr="00E93163">
        <w:rPr>
          <w:sz w:val="24"/>
          <w:szCs w:val="24"/>
        </w:rPr>
        <w:t xml:space="preserve"> telecommunications devices that provide clients of a financial</w:t>
      </w:r>
    </w:p>
    <w:p w14:paraId="0910FA86" w14:textId="77777777" w:rsidR="00E93163" w:rsidRPr="00E93163" w:rsidRDefault="00E93163" w:rsidP="00E93163">
      <w:pPr>
        <w:spacing w:line="276" w:lineRule="auto"/>
        <w:rPr>
          <w:sz w:val="24"/>
          <w:szCs w:val="24"/>
        </w:rPr>
      </w:pPr>
      <w:r w:rsidRPr="00E93163">
        <w:rPr>
          <w:sz w:val="24"/>
          <w:szCs w:val="24"/>
        </w:rPr>
        <w:t>institution with access to financial transactions in a public place.</w:t>
      </w:r>
    </w:p>
    <w:p w14:paraId="6B67919C" w14:textId="77777777" w:rsidR="00E93163" w:rsidRPr="0082467D" w:rsidRDefault="00E93163" w:rsidP="00E93163">
      <w:pPr>
        <w:spacing w:line="276" w:lineRule="auto"/>
        <w:rPr>
          <w:b/>
          <w:bCs/>
          <w:sz w:val="24"/>
          <w:szCs w:val="24"/>
        </w:rPr>
      </w:pPr>
      <w:r w:rsidRPr="0082467D">
        <w:rPr>
          <w:b/>
          <w:bCs/>
          <w:sz w:val="24"/>
          <w:szCs w:val="24"/>
        </w:rPr>
        <w:t>Sources</w:t>
      </w:r>
    </w:p>
    <w:p w14:paraId="7F4A10F1" w14:textId="77777777" w:rsidR="00E93163" w:rsidRPr="00E93163" w:rsidRDefault="00E93163" w:rsidP="00E93163">
      <w:pPr>
        <w:spacing w:line="276" w:lineRule="auto"/>
        <w:rPr>
          <w:sz w:val="24"/>
          <w:szCs w:val="24"/>
        </w:rPr>
      </w:pPr>
      <w:r w:rsidRPr="00E93163">
        <w:rPr>
          <w:sz w:val="24"/>
          <w:szCs w:val="24"/>
        </w:rPr>
        <w:t>AUTOMATED TELLER MACHINES (ATMS) (PER 100,000 ADULTS)</w:t>
      </w:r>
    </w:p>
    <w:p w14:paraId="5778F6BE" w14:textId="77777777" w:rsidR="00E93163" w:rsidRPr="00E93163" w:rsidRDefault="00E93163" w:rsidP="00E93163">
      <w:pPr>
        <w:spacing w:line="276" w:lineRule="auto"/>
        <w:rPr>
          <w:sz w:val="24"/>
          <w:szCs w:val="24"/>
        </w:rPr>
      </w:pPr>
      <w:r w:rsidRPr="00E93163">
        <w:rPr>
          <w:sz w:val="24"/>
          <w:szCs w:val="24"/>
        </w:rPr>
        <w:t>Variable description</w:t>
      </w:r>
      <w:r w:rsidRPr="00E93163">
        <w:rPr>
          <w:sz w:val="24"/>
          <w:szCs w:val="24"/>
        </w:rPr>
        <w:tab/>
        <w:t>Automated teller machines are computerized telecommunications devices that provide clients of a financial institution with access to financial transactions in a public place.</w:t>
      </w:r>
    </w:p>
    <w:p w14:paraId="569EC757" w14:textId="77777777" w:rsidR="00E93163" w:rsidRPr="00E93163" w:rsidRDefault="00E93163" w:rsidP="00E93163">
      <w:pPr>
        <w:spacing w:line="276" w:lineRule="auto"/>
        <w:rPr>
          <w:sz w:val="24"/>
          <w:szCs w:val="24"/>
        </w:rPr>
      </w:pPr>
    </w:p>
    <w:p w14:paraId="24523929" w14:textId="77777777" w:rsidR="00E93163" w:rsidRPr="00E93163" w:rsidRDefault="00E93163" w:rsidP="00E93163">
      <w:pPr>
        <w:spacing w:line="276" w:lineRule="auto"/>
        <w:rPr>
          <w:sz w:val="24"/>
          <w:szCs w:val="24"/>
        </w:rPr>
      </w:pPr>
      <w:r w:rsidRPr="00E93163">
        <w:rPr>
          <w:sz w:val="24"/>
          <w:szCs w:val="24"/>
        </w:rPr>
        <w:t>Limitations and exceptions: Population-based ratios of the number of branches and ATMs assume a uniform distribution of bank outlets within a country's area and across its population, while in most countries bank branches and ATMs are concentrated in urban centers of the country and are accessible only to some individuals.</w:t>
      </w:r>
    </w:p>
    <w:p w14:paraId="0167AA99" w14:textId="77777777" w:rsidR="00E93163" w:rsidRPr="00E93163" w:rsidRDefault="00E93163" w:rsidP="00E93163">
      <w:pPr>
        <w:spacing w:line="276" w:lineRule="auto"/>
        <w:rPr>
          <w:sz w:val="24"/>
          <w:szCs w:val="24"/>
        </w:rPr>
      </w:pPr>
    </w:p>
    <w:p w14:paraId="010854C0" w14:textId="64D27DCE" w:rsidR="00E93163" w:rsidRPr="00E93163" w:rsidRDefault="00E93163" w:rsidP="00E93163">
      <w:pPr>
        <w:spacing w:line="276" w:lineRule="auto"/>
        <w:rPr>
          <w:sz w:val="24"/>
          <w:szCs w:val="24"/>
        </w:rPr>
      </w:pPr>
      <w:r w:rsidRPr="00E93163">
        <w:rPr>
          <w:sz w:val="24"/>
          <w:szCs w:val="24"/>
        </w:rPr>
        <w:t xml:space="preserve">Statistical concept and methodology: Data are shown as the total number of ATMs for every 100,000 adults in the reporting country. Calculated as (number of </w:t>
      </w:r>
      <w:r w:rsidR="00194052" w:rsidRPr="00E93163">
        <w:rPr>
          <w:sz w:val="24"/>
          <w:szCs w:val="24"/>
        </w:rPr>
        <w:t>ATMs) *</w:t>
      </w:r>
      <w:r w:rsidRPr="00E93163">
        <w:rPr>
          <w:sz w:val="24"/>
          <w:szCs w:val="24"/>
        </w:rPr>
        <w:t>100,000/adult population in the reporting country.</w:t>
      </w:r>
    </w:p>
    <w:p w14:paraId="37A800D3" w14:textId="77777777" w:rsidR="00E93163" w:rsidRPr="00E93163" w:rsidRDefault="00E93163" w:rsidP="00E93163">
      <w:pPr>
        <w:spacing w:line="276" w:lineRule="auto"/>
        <w:rPr>
          <w:sz w:val="24"/>
          <w:szCs w:val="24"/>
        </w:rPr>
      </w:pPr>
      <w:r w:rsidRPr="00E93163">
        <w:rPr>
          <w:sz w:val="24"/>
          <w:szCs w:val="24"/>
        </w:rPr>
        <w:t>Variable time span</w:t>
      </w:r>
      <w:r w:rsidRPr="00E93163">
        <w:rPr>
          <w:sz w:val="24"/>
          <w:szCs w:val="24"/>
        </w:rPr>
        <w:tab/>
        <w:t>2004 – 2019</w:t>
      </w:r>
    </w:p>
    <w:p w14:paraId="43347109" w14:textId="77777777" w:rsidR="00E93163" w:rsidRPr="00E93163" w:rsidRDefault="00E93163" w:rsidP="00E93163">
      <w:pPr>
        <w:spacing w:line="276" w:lineRule="auto"/>
        <w:rPr>
          <w:sz w:val="24"/>
          <w:szCs w:val="24"/>
        </w:rPr>
      </w:pPr>
      <w:r w:rsidRPr="00E93163">
        <w:rPr>
          <w:sz w:val="24"/>
          <w:szCs w:val="24"/>
        </w:rPr>
        <w:t>Data published by</w:t>
      </w:r>
      <w:r w:rsidRPr="00E93163">
        <w:rPr>
          <w:sz w:val="24"/>
          <w:szCs w:val="24"/>
        </w:rPr>
        <w:tab/>
        <w:t>World Development Indicators - World Bank (2021.07.30)</w:t>
      </w:r>
    </w:p>
    <w:p w14:paraId="4DE13159" w14:textId="77777777" w:rsidR="00E93163" w:rsidRPr="00E93163" w:rsidRDefault="00E93163" w:rsidP="00E93163">
      <w:pPr>
        <w:spacing w:line="276" w:lineRule="auto"/>
        <w:rPr>
          <w:sz w:val="24"/>
          <w:szCs w:val="24"/>
        </w:rPr>
      </w:pPr>
      <w:r w:rsidRPr="00E93163">
        <w:rPr>
          <w:sz w:val="24"/>
          <w:szCs w:val="24"/>
        </w:rPr>
        <w:t>Data publisher's source</w:t>
      </w:r>
      <w:r w:rsidRPr="00E93163">
        <w:rPr>
          <w:sz w:val="24"/>
          <w:szCs w:val="24"/>
        </w:rPr>
        <w:tab/>
        <w:t>Financial Access Survey - International Monetary Fund</w:t>
      </w:r>
    </w:p>
    <w:p w14:paraId="1AF6D90E" w14:textId="1BD6B69D" w:rsidR="002737CA" w:rsidRDefault="00E93163" w:rsidP="00E93163">
      <w:pPr>
        <w:spacing w:line="276" w:lineRule="auto"/>
        <w:rPr>
          <w:sz w:val="24"/>
          <w:szCs w:val="24"/>
        </w:rPr>
      </w:pPr>
      <w:r w:rsidRPr="00E93163">
        <w:rPr>
          <w:sz w:val="24"/>
          <w:szCs w:val="24"/>
        </w:rPr>
        <w:t>Link</w:t>
      </w:r>
      <w:r w:rsidRPr="00E93163">
        <w:rPr>
          <w:sz w:val="24"/>
          <w:szCs w:val="24"/>
        </w:rPr>
        <w:tab/>
      </w:r>
      <w:hyperlink r:id="rId4" w:history="1">
        <w:r w:rsidR="00340FE2" w:rsidRPr="001F333A">
          <w:rPr>
            <w:rStyle w:val="Hyperlink"/>
            <w:sz w:val="24"/>
            <w:szCs w:val="24"/>
          </w:rPr>
          <w:t>http://data.worldbank.org/data-catalog/world-development-indicators</w:t>
        </w:r>
      </w:hyperlink>
    </w:p>
    <w:p w14:paraId="5AD4F924" w14:textId="77777777" w:rsidR="0082467D" w:rsidRDefault="0082467D" w:rsidP="0082467D">
      <w:pPr>
        <w:spacing w:line="276" w:lineRule="auto"/>
        <w:rPr>
          <w:sz w:val="24"/>
          <w:szCs w:val="24"/>
        </w:rPr>
      </w:pPr>
    </w:p>
    <w:p w14:paraId="7DC5A55D" w14:textId="77777777" w:rsidR="0082467D" w:rsidRDefault="0082467D" w:rsidP="0082467D">
      <w:pPr>
        <w:spacing w:line="276" w:lineRule="auto"/>
        <w:rPr>
          <w:sz w:val="24"/>
          <w:szCs w:val="24"/>
        </w:rPr>
      </w:pPr>
    </w:p>
    <w:p w14:paraId="36CEBA2E" w14:textId="77777777" w:rsidR="0082467D" w:rsidRDefault="0082467D" w:rsidP="0082467D">
      <w:pPr>
        <w:spacing w:line="276" w:lineRule="auto"/>
        <w:rPr>
          <w:sz w:val="24"/>
          <w:szCs w:val="24"/>
        </w:rPr>
      </w:pPr>
    </w:p>
    <w:p w14:paraId="4A63C294" w14:textId="77777777" w:rsidR="0082467D" w:rsidRDefault="0082467D" w:rsidP="0082467D">
      <w:pPr>
        <w:spacing w:line="276" w:lineRule="auto"/>
        <w:rPr>
          <w:sz w:val="24"/>
          <w:szCs w:val="24"/>
        </w:rPr>
      </w:pPr>
    </w:p>
    <w:p w14:paraId="783834AC" w14:textId="77777777" w:rsidR="0082467D" w:rsidRDefault="0082467D" w:rsidP="0082467D">
      <w:pPr>
        <w:spacing w:line="276" w:lineRule="auto"/>
        <w:rPr>
          <w:sz w:val="24"/>
          <w:szCs w:val="24"/>
        </w:rPr>
      </w:pPr>
    </w:p>
    <w:p w14:paraId="68DDEB68" w14:textId="77777777" w:rsidR="0082467D" w:rsidRDefault="0082467D" w:rsidP="0082467D">
      <w:pPr>
        <w:spacing w:line="276" w:lineRule="auto"/>
        <w:rPr>
          <w:sz w:val="24"/>
          <w:szCs w:val="24"/>
        </w:rPr>
      </w:pPr>
    </w:p>
    <w:p w14:paraId="306187E8" w14:textId="77777777" w:rsidR="0082467D" w:rsidRDefault="0082467D" w:rsidP="0082467D">
      <w:pPr>
        <w:spacing w:line="276" w:lineRule="auto"/>
        <w:rPr>
          <w:sz w:val="24"/>
          <w:szCs w:val="24"/>
        </w:rPr>
      </w:pPr>
    </w:p>
    <w:p w14:paraId="0F741DBA" w14:textId="28A7A035" w:rsidR="0082467D" w:rsidRDefault="0082467D" w:rsidP="0082467D">
      <w:pPr>
        <w:pStyle w:val="Heading1"/>
      </w:pPr>
      <w:r w:rsidRPr="0082467D">
        <w:lastRenderedPageBreak/>
        <w:t>Target 8.A: Increase aid for trade support</w:t>
      </w:r>
    </w:p>
    <w:p w14:paraId="41B9CB53" w14:textId="77777777" w:rsidR="0082467D" w:rsidRPr="0082467D" w:rsidRDefault="0082467D" w:rsidP="0082467D"/>
    <w:p w14:paraId="74A52F13" w14:textId="77777777" w:rsidR="0082467D" w:rsidRPr="0082467D" w:rsidRDefault="0082467D" w:rsidP="0082467D">
      <w:pPr>
        <w:spacing w:line="276" w:lineRule="auto"/>
        <w:rPr>
          <w:sz w:val="24"/>
          <w:szCs w:val="24"/>
        </w:rPr>
      </w:pPr>
      <w:r w:rsidRPr="0082467D">
        <w:rPr>
          <w:sz w:val="24"/>
          <w:szCs w:val="24"/>
        </w:rPr>
        <w:t>UN definition: Increase Aid for Trade support for developing countries, in particular least developed countries, including through the Enhanced Integrated Framework for Trade-related Technical Assistance to Least Developed Countries.</w:t>
      </w:r>
    </w:p>
    <w:p w14:paraId="000BE930" w14:textId="77777777" w:rsidR="0082467D" w:rsidRPr="0082467D" w:rsidRDefault="0082467D" w:rsidP="0082467D">
      <w:pPr>
        <w:spacing w:line="276" w:lineRule="auto"/>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67D">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SDG INDICATOR 8.A.1</w:t>
      </w:r>
    </w:p>
    <w:p w14:paraId="63FD7E86" w14:textId="77777777" w:rsidR="0082467D" w:rsidRPr="0082467D" w:rsidRDefault="0082467D" w:rsidP="0082467D">
      <w:pPr>
        <w:spacing w:line="276" w:lineRule="auto"/>
        <w:rPr>
          <w:sz w:val="24"/>
          <w:szCs w:val="24"/>
        </w:rPr>
      </w:pPr>
      <w:r w:rsidRPr="0082467D">
        <w:rPr>
          <w:sz w:val="24"/>
          <w:szCs w:val="24"/>
        </w:rPr>
        <w:t>Aid for trade</w:t>
      </w:r>
    </w:p>
    <w:p w14:paraId="0EEBBB58" w14:textId="77777777" w:rsidR="0082467D" w:rsidRPr="0082467D" w:rsidRDefault="0082467D" w:rsidP="0082467D">
      <w:pPr>
        <w:spacing w:line="276" w:lineRule="auto"/>
        <w:rPr>
          <w:sz w:val="24"/>
          <w:szCs w:val="24"/>
        </w:rPr>
      </w:pPr>
      <w:r w:rsidRPr="0082467D">
        <w:rPr>
          <w:sz w:val="24"/>
          <w:szCs w:val="24"/>
        </w:rPr>
        <w:t>Definition: Indicator 8.A.1 is aid for trade commitments and disbursements.</w:t>
      </w:r>
    </w:p>
    <w:p w14:paraId="047EC5DC" w14:textId="77777777" w:rsidR="0082467D" w:rsidRPr="0082467D" w:rsidRDefault="0082467D" w:rsidP="0082467D">
      <w:pPr>
        <w:spacing w:line="276" w:lineRule="auto"/>
        <w:rPr>
          <w:sz w:val="24"/>
          <w:szCs w:val="24"/>
        </w:rPr>
      </w:pPr>
    </w:p>
    <w:p w14:paraId="0E7946D1" w14:textId="77777777" w:rsidR="0082467D" w:rsidRPr="0082467D" w:rsidRDefault="0082467D" w:rsidP="0082467D">
      <w:pPr>
        <w:spacing w:line="276" w:lineRule="auto"/>
        <w:rPr>
          <w:sz w:val="24"/>
          <w:szCs w:val="24"/>
        </w:rPr>
      </w:pPr>
      <w:r w:rsidRPr="0082467D">
        <w:rPr>
          <w:sz w:val="24"/>
          <w:szCs w:val="24"/>
        </w:rPr>
        <w:t>Aid for Trade is reported here by recipient, as well as by donor country. This is measured as total Official Development Assistance (ODA) allocated to aid for trade in constant US$.</w:t>
      </w:r>
    </w:p>
    <w:p w14:paraId="5D9E74C0" w14:textId="77777777" w:rsidR="0082467D" w:rsidRPr="0082467D" w:rsidRDefault="0082467D" w:rsidP="0082467D">
      <w:pPr>
        <w:spacing w:line="276" w:lineRule="auto"/>
        <w:rPr>
          <w:sz w:val="24"/>
          <w:szCs w:val="24"/>
        </w:rPr>
      </w:pPr>
    </w:p>
    <w:p w14:paraId="22F1C5C4" w14:textId="77777777" w:rsidR="0082467D" w:rsidRPr="0082467D" w:rsidRDefault="0082467D" w:rsidP="0082467D">
      <w:pPr>
        <w:spacing w:line="276" w:lineRule="auto"/>
        <w:rPr>
          <w:sz w:val="24"/>
          <w:szCs w:val="24"/>
        </w:rPr>
      </w:pPr>
      <w:r w:rsidRPr="0082467D">
        <w:rPr>
          <w:sz w:val="24"/>
          <w:szCs w:val="24"/>
        </w:rPr>
        <w:t>Goal: Increase Aid for Trade support for developing countries by 2030.</w:t>
      </w:r>
    </w:p>
    <w:p w14:paraId="303CA5C7" w14:textId="77777777" w:rsidR="0082467D" w:rsidRPr="0082467D" w:rsidRDefault="0082467D" w:rsidP="0082467D">
      <w:pPr>
        <w:spacing w:line="276" w:lineRule="auto"/>
        <w:rPr>
          <w:sz w:val="24"/>
          <w:szCs w:val="24"/>
        </w:rPr>
      </w:pPr>
    </w:p>
    <w:p w14:paraId="21B09844" w14:textId="77777777" w:rsidR="0082467D" w:rsidRPr="0082467D" w:rsidRDefault="0082467D" w:rsidP="0082467D">
      <w:pPr>
        <w:spacing w:line="276" w:lineRule="auto"/>
        <w:rPr>
          <w:sz w:val="24"/>
          <w:szCs w:val="24"/>
        </w:rPr>
      </w:pPr>
      <w:r w:rsidRPr="0082467D">
        <w:rPr>
          <w:sz w:val="24"/>
          <w:szCs w:val="24"/>
        </w:rPr>
        <w:t>More research: Further data and research on this topic can be found at the Our World in Data entry on International Trade.</w:t>
      </w:r>
    </w:p>
    <w:p w14:paraId="0ECE1B6F" w14:textId="77777777" w:rsidR="0082467D" w:rsidRPr="0082467D" w:rsidRDefault="0082467D" w:rsidP="0082467D">
      <w:pPr>
        <w:spacing w:line="276" w:lineRule="auto"/>
        <w:rPr>
          <w:sz w:val="24"/>
          <w:szCs w:val="24"/>
        </w:rPr>
      </w:pPr>
    </w:p>
    <w:p w14:paraId="13FF23AE" w14:textId="77777777" w:rsidR="0082467D" w:rsidRPr="0082467D" w:rsidRDefault="0082467D" w:rsidP="0082467D">
      <w:pPr>
        <w:spacing w:line="276" w:lineRule="auto"/>
        <w:rPr>
          <w:sz w:val="24"/>
          <w:szCs w:val="24"/>
        </w:rPr>
      </w:pPr>
      <w:r w:rsidRPr="0082467D">
        <w:rPr>
          <w:sz w:val="24"/>
          <w:szCs w:val="24"/>
        </w:rPr>
        <w:t>Total official flows commitments for Aid for Trade, by</w:t>
      </w:r>
    </w:p>
    <w:p w14:paraId="3E088016" w14:textId="77777777" w:rsidR="0082467D" w:rsidRPr="0082467D" w:rsidRDefault="0082467D" w:rsidP="0082467D">
      <w:pPr>
        <w:spacing w:line="276" w:lineRule="auto"/>
        <w:rPr>
          <w:sz w:val="24"/>
          <w:szCs w:val="24"/>
        </w:rPr>
      </w:pPr>
      <w:r w:rsidRPr="0082467D">
        <w:rPr>
          <w:sz w:val="24"/>
          <w:szCs w:val="24"/>
        </w:rPr>
        <w:t>recipient, 2019</w:t>
      </w:r>
    </w:p>
    <w:p w14:paraId="67269678" w14:textId="77777777" w:rsidR="0082467D" w:rsidRPr="0082467D" w:rsidRDefault="0082467D" w:rsidP="0082467D">
      <w:pPr>
        <w:spacing w:line="276" w:lineRule="auto"/>
        <w:rPr>
          <w:sz w:val="24"/>
          <w:szCs w:val="24"/>
        </w:rPr>
      </w:pPr>
      <w:r w:rsidRPr="0082467D">
        <w:rPr>
          <w:sz w:val="24"/>
          <w:szCs w:val="24"/>
        </w:rPr>
        <w:t>Gross disbursements and commitments of total Official Development Assistance (ODA) from all</w:t>
      </w:r>
    </w:p>
    <w:p w14:paraId="4E676890" w14:textId="77777777" w:rsidR="0082467D" w:rsidRPr="0082467D" w:rsidRDefault="0082467D" w:rsidP="0082467D">
      <w:pPr>
        <w:spacing w:line="276" w:lineRule="auto"/>
        <w:rPr>
          <w:sz w:val="24"/>
          <w:szCs w:val="24"/>
        </w:rPr>
      </w:pPr>
      <w:r w:rsidRPr="0082467D">
        <w:rPr>
          <w:sz w:val="24"/>
          <w:szCs w:val="24"/>
        </w:rPr>
        <w:t>donors for aid for trade. This is measured in constant 2019 US$.</w:t>
      </w:r>
    </w:p>
    <w:p w14:paraId="70233686" w14:textId="77777777" w:rsidR="0082467D" w:rsidRPr="0082467D" w:rsidRDefault="0082467D" w:rsidP="0082467D">
      <w:pPr>
        <w:spacing w:line="276" w:lineRule="auto"/>
        <w:rPr>
          <w:b/>
          <w:bCs/>
          <w:sz w:val="28"/>
          <w:szCs w:val="28"/>
        </w:rPr>
      </w:pPr>
      <w:r w:rsidRPr="0082467D">
        <w:rPr>
          <w:b/>
          <w:bCs/>
          <w:sz w:val="28"/>
          <w:szCs w:val="28"/>
        </w:rPr>
        <w:t>Sources</w:t>
      </w:r>
    </w:p>
    <w:p w14:paraId="11EFA732" w14:textId="77777777" w:rsidR="0082467D" w:rsidRPr="0082467D" w:rsidRDefault="0082467D" w:rsidP="0082467D">
      <w:pPr>
        <w:spacing w:line="276" w:lineRule="auto"/>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67D">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8.A.1 - TOTAL OFFICIAL FLOWS (COMMITMENTS) FOR AID FOR TRADE, BY RECIPIENT COUNTRIES (MILLIONS OF CONSTANT 2019 UNITED STATES DOLLARS) - DC_TOF_TRDCML</w:t>
      </w:r>
    </w:p>
    <w:p w14:paraId="31EDEE06" w14:textId="77777777" w:rsidR="0082467D" w:rsidRPr="0082467D" w:rsidRDefault="0082467D" w:rsidP="0082467D">
      <w:pPr>
        <w:spacing w:line="276" w:lineRule="auto"/>
        <w:rPr>
          <w:sz w:val="24"/>
          <w:szCs w:val="24"/>
        </w:rPr>
      </w:pPr>
      <w:r w:rsidRPr="0082467D">
        <w:rPr>
          <w:sz w:val="24"/>
          <w:szCs w:val="24"/>
        </w:rPr>
        <w:t>Variable time span</w:t>
      </w:r>
      <w:r w:rsidRPr="0082467D">
        <w:rPr>
          <w:sz w:val="24"/>
          <w:szCs w:val="24"/>
        </w:rPr>
        <w:tab/>
        <w:t>2005 – 2019</w:t>
      </w:r>
    </w:p>
    <w:p w14:paraId="0FD13340" w14:textId="77777777" w:rsidR="0082467D" w:rsidRPr="0082467D" w:rsidRDefault="0082467D" w:rsidP="0082467D">
      <w:pPr>
        <w:spacing w:line="276" w:lineRule="auto"/>
        <w:rPr>
          <w:sz w:val="24"/>
          <w:szCs w:val="24"/>
        </w:rPr>
      </w:pPr>
      <w:r w:rsidRPr="0082467D">
        <w:rPr>
          <w:sz w:val="24"/>
          <w:szCs w:val="24"/>
        </w:rPr>
        <w:t>Unit conversion factor for chart</w:t>
      </w:r>
      <w:r w:rsidRPr="0082467D">
        <w:rPr>
          <w:sz w:val="24"/>
          <w:szCs w:val="24"/>
        </w:rPr>
        <w:tab/>
        <w:t>1000000</w:t>
      </w:r>
    </w:p>
    <w:p w14:paraId="67A7D445" w14:textId="77777777" w:rsidR="0082467D" w:rsidRPr="0082467D" w:rsidRDefault="0082467D" w:rsidP="0082467D">
      <w:pPr>
        <w:spacing w:line="276" w:lineRule="auto"/>
        <w:rPr>
          <w:sz w:val="24"/>
          <w:szCs w:val="24"/>
        </w:rPr>
      </w:pPr>
      <w:r w:rsidRPr="0082467D">
        <w:rPr>
          <w:sz w:val="24"/>
          <w:szCs w:val="24"/>
        </w:rPr>
        <w:t>Data published by</w:t>
      </w:r>
      <w:r w:rsidRPr="0082467D">
        <w:rPr>
          <w:sz w:val="24"/>
          <w:szCs w:val="24"/>
        </w:rPr>
        <w:tab/>
        <w:t>United Nations Statistics Division</w:t>
      </w:r>
    </w:p>
    <w:p w14:paraId="2C8759D9" w14:textId="24AA919F" w:rsidR="0082467D" w:rsidRPr="0082467D" w:rsidRDefault="0082467D" w:rsidP="0082467D">
      <w:pPr>
        <w:spacing w:line="276" w:lineRule="auto"/>
        <w:rPr>
          <w:sz w:val="24"/>
          <w:szCs w:val="24"/>
        </w:rPr>
      </w:pPr>
      <w:r w:rsidRPr="0082467D">
        <w:rPr>
          <w:sz w:val="24"/>
          <w:szCs w:val="24"/>
        </w:rPr>
        <w:lastRenderedPageBreak/>
        <w:t>Data publisher's source</w:t>
      </w:r>
      <w:r w:rsidRPr="0082467D">
        <w:rPr>
          <w:sz w:val="24"/>
          <w:szCs w:val="24"/>
        </w:rPr>
        <w:tab/>
      </w:r>
      <w:r w:rsidRPr="0082467D">
        <w:rPr>
          <w:sz w:val="24"/>
          <w:szCs w:val="24"/>
        </w:rPr>
        <w:t>Organization</w:t>
      </w:r>
      <w:r w:rsidRPr="0082467D">
        <w:rPr>
          <w:sz w:val="24"/>
          <w:szCs w:val="24"/>
        </w:rPr>
        <w:t xml:space="preserve"> for Economic Co-operation and Development</w:t>
      </w:r>
    </w:p>
    <w:p w14:paraId="5F8E9A32" w14:textId="77777777" w:rsidR="0082467D" w:rsidRPr="0082467D" w:rsidRDefault="0082467D" w:rsidP="0082467D">
      <w:pPr>
        <w:spacing w:line="276" w:lineRule="auto"/>
        <w:rPr>
          <w:sz w:val="24"/>
          <w:szCs w:val="24"/>
        </w:rPr>
      </w:pPr>
      <w:r w:rsidRPr="0082467D">
        <w:rPr>
          <w:sz w:val="24"/>
          <w:szCs w:val="24"/>
        </w:rPr>
        <w:t>Link</w:t>
      </w:r>
      <w:r w:rsidRPr="0082467D">
        <w:rPr>
          <w:sz w:val="24"/>
          <w:szCs w:val="24"/>
        </w:rPr>
        <w:tab/>
        <w:t>https://unstats.un.org/sdgs/indicators/database/</w:t>
      </w:r>
    </w:p>
    <w:p w14:paraId="7CBE4B20" w14:textId="77777777" w:rsidR="0082467D" w:rsidRPr="0082467D" w:rsidRDefault="0082467D" w:rsidP="0082467D">
      <w:pPr>
        <w:spacing w:line="276" w:lineRule="auto"/>
        <w:rPr>
          <w:sz w:val="24"/>
          <w:szCs w:val="24"/>
        </w:rPr>
      </w:pPr>
      <w:r w:rsidRPr="0082467D">
        <w:rPr>
          <w:sz w:val="24"/>
          <w:szCs w:val="24"/>
        </w:rPr>
        <w:t>Variable description: Total official flows (commitments) for Aid for Trade, by recipient countries (millions of constant 2019 United States dollars)</w:t>
      </w:r>
    </w:p>
    <w:p w14:paraId="2B54F819" w14:textId="77777777" w:rsidR="0082467D" w:rsidRPr="0082467D" w:rsidRDefault="0082467D" w:rsidP="0082467D">
      <w:pPr>
        <w:spacing w:line="276" w:lineRule="auto"/>
        <w:rPr>
          <w:sz w:val="24"/>
          <w:szCs w:val="24"/>
        </w:rPr>
      </w:pPr>
    </w:p>
    <w:p w14:paraId="75BE9917" w14:textId="77777777" w:rsidR="0082467D" w:rsidRPr="0082467D" w:rsidRDefault="0082467D" w:rsidP="0082467D">
      <w:pPr>
        <w:spacing w:line="276" w:lineRule="auto"/>
        <w:rPr>
          <w:sz w:val="24"/>
          <w:szCs w:val="24"/>
        </w:rPr>
      </w:pPr>
      <w:r w:rsidRPr="0082467D">
        <w:rPr>
          <w:sz w:val="24"/>
          <w:szCs w:val="24"/>
        </w:rPr>
        <w:t>Variable code: DC_TOF_TRDCML</w:t>
      </w:r>
    </w:p>
    <w:p w14:paraId="2C040889" w14:textId="77777777" w:rsidR="0082467D" w:rsidRPr="0082467D" w:rsidRDefault="0082467D" w:rsidP="0082467D">
      <w:pPr>
        <w:spacing w:line="276" w:lineRule="auto"/>
        <w:rPr>
          <w:sz w:val="24"/>
          <w:szCs w:val="24"/>
        </w:rPr>
      </w:pPr>
    </w:p>
    <w:p w14:paraId="31C828F1" w14:textId="77777777" w:rsidR="0082467D" w:rsidRPr="0082467D" w:rsidRDefault="0082467D" w:rsidP="0082467D">
      <w:pPr>
        <w:spacing w:line="276" w:lineRule="auto"/>
        <w:rPr>
          <w:sz w:val="24"/>
          <w:szCs w:val="24"/>
        </w:rPr>
      </w:pPr>
      <w:r w:rsidRPr="0082467D">
        <w:rPr>
          <w:sz w:val="24"/>
          <w:szCs w:val="24"/>
        </w:rPr>
        <w:t>Metadata available at: https://unstats.un.org/sdgs/metadata/files/Metadata-08-0a-01.pdf</w:t>
      </w:r>
    </w:p>
    <w:p w14:paraId="66D76FBA" w14:textId="77777777" w:rsidR="0082467D" w:rsidRPr="0082467D" w:rsidRDefault="0082467D" w:rsidP="0082467D">
      <w:pPr>
        <w:spacing w:line="276" w:lineRule="auto"/>
        <w:rPr>
          <w:sz w:val="24"/>
          <w:szCs w:val="24"/>
        </w:rPr>
      </w:pPr>
    </w:p>
    <w:p w14:paraId="71E62C07" w14:textId="3944399A" w:rsidR="0082467D" w:rsidRPr="0082467D" w:rsidRDefault="0082467D" w:rsidP="0082467D">
      <w:pPr>
        <w:spacing w:line="276" w:lineRule="auto"/>
        <w:rPr>
          <w:sz w:val="24"/>
          <w:szCs w:val="24"/>
        </w:rPr>
      </w:pPr>
      <w:r w:rsidRPr="0082467D">
        <w:rPr>
          <w:sz w:val="24"/>
          <w:szCs w:val="24"/>
        </w:rPr>
        <w:t xml:space="preserve">Detailed sources: The </w:t>
      </w:r>
      <w:r w:rsidRPr="0082467D">
        <w:rPr>
          <w:sz w:val="24"/>
          <w:szCs w:val="24"/>
        </w:rPr>
        <w:t>Organization</w:t>
      </w:r>
      <w:r w:rsidRPr="0082467D">
        <w:rPr>
          <w:sz w:val="24"/>
          <w:szCs w:val="24"/>
        </w:rPr>
        <w:t xml:space="preserve"> for Economic Co-operation and Development (OECD).</w:t>
      </w:r>
    </w:p>
    <w:p w14:paraId="2633F33E" w14:textId="1EF6F581" w:rsidR="0082467D" w:rsidRDefault="0082467D" w:rsidP="0082467D">
      <w:pPr>
        <w:spacing w:line="276" w:lineRule="auto"/>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17E2">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Target 8.B: Develop a global youth employment strategy</w:t>
      </w:r>
    </w:p>
    <w:p w14:paraId="03352092" w14:textId="77777777" w:rsidR="009517E2" w:rsidRPr="009517E2" w:rsidRDefault="009517E2" w:rsidP="0082467D">
      <w:pPr>
        <w:spacing w:line="276" w:lineRule="auto"/>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075E2D" w14:textId="2B216E7C" w:rsidR="0082467D" w:rsidRPr="0082467D" w:rsidRDefault="0082467D" w:rsidP="0082467D">
      <w:pPr>
        <w:spacing w:line="276" w:lineRule="auto"/>
        <w:rPr>
          <w:sz w:val="24"/>
          <w:szCs w:val="24"/>
        </w:rPr>
      </w:pPr>
      <w:r w:rsidRPr="0082467D">
        <w:rPr>
          <w:sz w:val="24"/>
          <w:szCs w:val="24"/>
        </w:rPr>
        <w:t xml:space="preserve">UN definition: By 2020, develop and operationalize a global strategy for youth employment and implement the Global Jobs Pact of the International </w:t>
      </w:r>
      <w:r w:rsidRPr="0082467D">
        <w:rPr>
          <w:sz w:val="24"/>
          <w:szCs w:val="24"/>
        </w:rPr>
        <w:t>Labor</w:t>
      </w:r>
      <w:r w:rsidRPr="0082467D">
        <w:rPr>
          <w:sz w:val="24"/>
          <w:szCs w:val="24"/>
        </w:rPr>
        <w:t xml:space="preserve"> Organization.</w:t>
      </w:r>
    </w:p>
    <w:p w14:paraId="5FB4B737" w14:textId="77777777" w:rsidR="0082467D" w:rsidRPr="0082467D" w:rsidRDefault="0082467D" w:rsidP="0082467D">
      <w:pPr>
        <w:spacing w:line="276" w:lineRule="auto"/>
        <w:rPr>
          <w:sz w:val="24"/>
          <w:szCs w:val="24"/>
        </w:rPr>
      </w:pPr>
      <w:r w:rsidRPr="0082467D">
        <w:rPr>
          <w:sz w:val="24"/>
          <w:szCs w:val="24"/>
        </w:rPr>
        <w:t>Existence of a national strategy for youth</w:t>
      </w:r>
    </w:p>
    <w:p w14:paraId="32E5B523" w14:textId="77777777" w:rsidR="0082467D" w:rsidRPr="0082467D" w:rsidRDefault="0082467D" w:rsidP="0082467D">
      <w:pPr>
        <w:spacing w:line="276" w:lineRule="auto"/>
        <w:rPr>
          <w:sz w:val="24"/>
          <w:szCs w:val="24"/>
        </w:rPr>
      </w:pPr>
      <w:r w:rsidRPr="0082467D">
        <w:rPr>
          <w:sz w:val="24"/>
          <w:szCs w:val="24"/>
        </w:rPr>
        <w:t>employment, 2020</w:t>
      </w:r>
    </w:p>
    <w:p w14:paraId="3162D8BB" w14:textId="77777777" w:rsidR="0082467D" w:rsidRPr="0082467D" w:rsidRDefault="0082467D" w:rsidP="0082467D">
      <w:pPr>
        <w:spacing w:line="276" w:lineRule="auto"/>
        <w:rPr>
          <w:sz w:val="24"/>
          <w:szCs w:val="24"/>
        </w:rPr>
      </w:pPr>
      <w:r w:rsidRPr="0082467D">
        <w:rPr>
          <w:sz w:val="24"/>
          <w:szCs w:val="24"/>
        </w:rPr>
        <w:t>A categorical scale from 0 to 3, where higher values indicate greater development, adoption</w:t>
      </w:r>
    </w:p>
    <w:p w14:paraId="1C657406" w14:textId="282F43B1" w:rsidR="00340FE2" w:rsidRDefault="0082467D" w:rsidP="0082467D">
      <w:pPr>
        <w:spacing w:line="276" w:lineRule="auto"/>
        <w:rPr>
          <w:sz w:val="24"/>
          <w:szCs w:val="24"/>
        </w:rPr>
      </w:pPr>
      <w:r w:rsidRPr="0082467D">
        <w:rPr>
          <w:sz w:val="24"/>
          <w:szCs w:val="24"/>
        </w:rPr>
        <w:t xml:space="preserve">and </w:t>
      </w:r>
      <w:r w:rsidRPr="0082467D">
        <w:rPr>
          <w:sz w:val="24"/>
          <w:szCs w:val="24"/>
        </w:rPr>
        <w:t>operationalization</w:t>
      </w:r>
      <w:r w:rsidRPr="0082467D">
        <w:rPr>
          <w:sz w:val="24"/>
          <w:szCs w:val="24"/>
        </w:rPr>
        <w:t xml:space="preserve"> of a national strategy for youth employment.</w:t>
      </w:r>
    </w:p>
    <w:p w14:paraId="5CD74505" w14:textId="77777777" w:rsidR="009517E2" w:rsidRPr="009517E2" w:rsidRDefault="009517E2" w:rsidP="009517E2">
      <w:pPr>
        <w:spacing w:line="276" w:lineRule="auto"/>
        <w:rPr>
          <w:sz w:val="24"/>
          <w:szCs w:val="24"/>
        </w:rPr>
      </w:pPr>
      <w:r w:rsidRPr="009517E2">
        <w:rPr>
          <w:sz w:val="24"/>
          <w:szCs w:val="24"/>
        </w:rPr>
        <w:t>Existence of a national strategy for youth</w:t>
      </w:r>
    </w:p>
    <w:p w14:paraId="497FAFD3" w14:textId="77777777" w:rsidR="009517E2" w:rsidRPr="009517E2" w:rsidRDefault="009517E2" w:rsidP="009517E2">
      <w:pPr>
        <w:spacing w:line="276" w:lineRule="auto"/>
        <w:rPr>
          <w:sz w:val="24"/>
          <w:szCs w:val="24"/>
        </w:rPr>
      </w:pPr>
      <w:r w:rsidRPr="009517E2">
        <w:rPr>
          <w:sz w:val="24"/>
          <w:szCs w:val="24"/>
        </w:rPr>
        <w:t>employment, 2020</w:t>
      </w:r>
    </w:p>
    <w:p w14:paraId="428917C8" w14:textId="77777777" w:rsidR="009517E2" w:rsidRPr="009517E2" w:rsidRDefault="009517E2" w:rsidP="009517E2">
      <w:pPr>
        <w:spacing w:line="276" w:lineRule="auto"/>
        <w:rPr>
          <w:sz w:val="24"/>
          <w:szCs w:val="24"/>
        </w:rPr>
      </w:pPr>
      <w:r w:rsidRPr="009517E2">
        <w:rPr>
          <w:sz w:val="24"/>
          <w:szCs w:val="24"/>
        </w:rPr>
        <w:t>A categorical scale from 0 to 3, where higher values indicate greater development, adoption</w:t>
      </w:r>
    </w:p>
    <w:p w14:paraId="20621D3D" w14:textId="4D095970" w:rsidR="009517E2" w:rsidRPr="009517E2" w:rsidRDefault="009517E2" w:rsidP="009517E2">
      <w:pPr>
        <w:spacing w:line="276" w:lineRule="auto"/>
        <w:rPr>
          <w:sz w:val="24"/>
          <w:szCs w:val="24"/>
        </w:rPr>
      </w:pPr>
      <w:r w:rsidRPr="009517E2">
        <w:rPr>
          <w:sz w:val="24"/>
          <w:szCs w:val="24"/>
        </w:rPr>
        <w:t xml:space="preserve">and </w:t>
      </w:r>
      <w:r w:rsidRPr="009517E2">
        <w:rPr>
          <w:sz w:val="24"/>
          <w:szCs w:val="24"/>
        </w:rPr>
        <w:t>operationalization</w:t>
      </w:r>
      <w:r w:rsidRPr="009517E2">
        <w:rPr>
          <w:sz w:val="24"/>
          <w:szCs w:val="24"/>
        </w:rPr>
        <w:t xml:space="preserve"> of a national strategy for youth employment.</w:t>
      </w:r>
    </w:p>
    <w:p w14:paraId="6F086EDF" w14:textId="77777777" w:rsidR="009517E2" w:rsidRPr="009517E2" w:rsidRDefault="009517E2" w:rsidP="009517E2">
      <w:pPr>
        <w:spacing w:line="276" w:lineRule="auto"/>
        <w:rPr>
          <w:b/>
          <w:bCs/>
          <w:sz w:val="28"/>
          <w:szCs w:val="28"/>
        </w:rPr>
      </w:pPr>
      <w:r w:rsidRPr="009517E2">
        <w:rPr>
          <w:b/>
          <w:bCs/>
          <w:sz w:val="28"/>
          <w:szCs w:val="28"/>
        </w:rPr>
        <w:t>Sources</w:t>
      </w:r>
    </w:p>
    <w:p w14:paraId="31924651" w14:textId="77777777" w:rsidR="009517E2" w:rsidRPr="009517E2" w:rsidRDefault="009517E2" w:rsidP="009517E2">
      <w:pPr>
        <w:spacing w:line="276" w:lineRule="auto"/>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17E2">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8.B.1 - EXISTENCE OF A DEVELOPED AND OPERATIONALIZED NATIONAL STRATEGY FOR YOUTH EMPLOYMENT, AS A DISTINCT STRATEGY OR AS PART OF A NATIONAL EMPLOYMENT STRATEGY - SL_CPA_YEMP</w:t>
      </w:r>
    </w:p>
    <w:p w14:paraId="53A05B14" w14:textId="77777777" w:rsidR="009517E2" w:rsidRPr="009517E2" w:rsidRDefault="009517E2" w:rsidP="009517E2">
      <w:pPr>
        <w:spacing w:line="276" w:lineRule="auto"/>
        <w:rPr>
          <w:sz w:val="24"/>
          <w:szCs w:val="24"/>
        </w:rPr>
      </w:pPr>
      <w:r w:rsidRPr="009517E2">
        <w:rPr>
          <w:sz w:val="24"/>
          <w:szCs w:val="24"/>
        </w:rPr>
        <w:t>Variable time span</w:t>
      </w:r>
      <w:r w:rsidRPr="009517E2">
        <w:rPr>
          <w:sz w:val="24"/>
          <w:szCs w:val="24"/>
        </w:rPr>
        <w:tab/>
        <w:t>2019 – 2020</w:t>
      </w:r>
    </w:p>
    <w:p w14:paraId="49D2FD4F" w14:textId="77777777" w:rsidR="009517E2" w:rsidRPr="009517E2" w:rsidRDefault="009517E2" w:rsidP="009517E2">
      <w:pPr>
        <w:spacing w:line="276" w:lineRule="auto"/>
        <w:rPr>
          <w:sz w:val="24"/>
          <w:szCs w:val="24"/>
        </w:rPr>
      </w:pPr>
      <w:r w:rsidRPr="009517E2">
        <w:rPr>
          <w:sz w:val="24"/>
          <w:szCs w:val="24"/>
        </w:rPr>
        <w:lastRenderedPageBreak/>
        <w:t>Data published by</w:t>
      </w:r>
      <w:r w:rsidRPr="009517E2">
        <w:rPr>
          <w:sz w:val="24"/>
          <w:szCs w:val="24"/>
        </w:rPr>
        <w:tab/>
        <w:t>United Nations Statistics Division</w:t>
      </w:r>
    </w:p>
    <w:p w14:paraId="3E4CA0E2" w14:textId="3C7E45A8" w:rsidR="009517E2" w:rsidRPr="009517E2" w:rsidRDefault="009517E2" w:rsidP="009517E2">
      <w:pPr>
        <w:spacing w:line="276" w:lineRule="auto"/>
        <w:rPr>
          <w:sz w:val="24"/>
          <w:szCs w:val="24"/>
        </w:rPr>
      </w:pPr>
      <w:r w:rsidRPr="009517E2">
        <w:rPr>
          <w:sz w:val="24"/>
          <w:szCs w:val="24"/>
        </w:rPr>
        <w:t>Data publisher's source</w:t>
      </w:r>
      <w:r w:rsidRPr="009517E2">
        <w:rPr>
          <w:sz w:val="24"/>
          <w:szCs w:val="24"/>
        </w:rPr>
        <w:tab/>
        <w:t xml:space="preserve">International </w:t>
      </w:r>
      <w:r w:rsidRPr="009517E2">
        <w:rPr>
          <w:sz w:val="24"/>
          <w:szCs w:val="24"/>
        </w:rPr>
        <w:t>Labor</w:t>
      </w:r>
      <w:r w:rsidRPr="009517E2">
        <w:rPr>
          <w:sz w:val="24"/>
          <w:szCs w:val="24"/>
        </w:rPr>
        <w:t xml:space="preserve"> Organization (ILO)</w:t>
      </w:r>
    </w:p>
    <w:p w14:paraId="1CC4C822" w14:textId="77777777" w:rsidR="009517E2" w:rsidRPr="009517E2" w:rsidRDefault="009517E2" w:rsidP="009517E2">
      <w:pPr>
        <w:spacing w:line="276" w:lineRule="auto"/>
        <w:rPr>
          <w:sz w:val="24"/>
          <w:szCs w:val="24"/>
        </w:rPr>
      </w:pPr>
      <w:r w:rsidRPr="009517E2">
        <w:rPr>
          <w:sz w:val="24"/>
          <w:szCs w:val="24"/>
        </w:rPr>
        <w:t>Link</w:t>
      </w:r>
      <w:r w:rsidRPr="009517E2">
        <w:rPr>
          <w:sz w:val="24"/>
          <w:szCs w:val="24"/>
        </w:rPr>
        <w:tab/>
        <w:t>https://unstats.un.org/sdgs/indicators/database/</w:t>
      </w:r>
    </w:p>
    <w:p w14:paraId="443E8583" w14:textId="77777777" w:rsidR="009517E2" w:rsidRPr="009517E2" w:rsidRDefault="009517E2" w:rsidP="009517E2">
      <w:pPr>
        <w:spacing w:line="276" w:lineRule="auto"/>
        <w:rPr>
          <w:sz w:val="24"/>
          <w:szCs w:val="24"/>
        </w:rPr>
      </w:pPr>
      <w:r w:rsidRPr="009517E2">
        <w:rPr>
          <w:sz w:val="24"/>
          <w:szCs w:val="24"/>
        </w:rPr>
        <w:t>Variable description: Existence of a developed and operationalized national strategy for youth employment, as a distinct strategy or as part of a national employment strategy</w:t>
      </w:r>
    </w:p>
    <w:p w14:paraId="2D94BF2B" w14:textId="77777777" w:rsidR="009517E2" w:rsidRPr="009517E2" w:rsidRDefault="009517E2" w:rsidP="009517E2">
      <w:pPr>
        <w:spacing w:line="276" w:lineRule="auto"/>
        <w:rPr>
          <w:sz w:val="24"/>
          <w:szCs w:val="24"/>
        </w:rPr>
      </w:pPr>
    </w:p>
    <w:p w14:paraId="3E76A086" w14:textId="77777777" w:rsidR="009517E2" w:rsidRPr="009517E2" w:rsidRDefault="009517E2" w:rsidP="009517E2">
      <w:pPr>
        <w:spacing w:line="276" w:lineRule="auto"/>
        <w:rPr>
          <w:sz w:val="24"/>
          <w:szCs w:val="24"/>
        </w:rPr>
      </w:pPr>
      <w:r w:rsidRPr="009517E2">
        <w:rPr>
          <w:sz w:val="24"/>
          <w:szCs w:val="24"/>
        </w:rPr>
        <w:t>Variable code: SL_CPA_YEMP</w:t>
      </w:r>
    </w:p>
    <w:p w14:paraId="67F90E97" w14:textId="77777777" w:rsidR="009517E2" w:rsidRPr="009517E2" w:rsidRDefault="009517E2" w:rsidP="009517E2">
      <w:pPr>
        <w:spacing w:line="276" w:lineRule="auto"/>
        <w:rPr>
          <w:sz w:val="24"/>
          <w:szCs w:val="24"/>
        </w:rPr>
      </w:pPr>
    </w:p>
    <w:p w14:paraId="58B1B5DC" w14:textId="77777777" w:rsidR="009517E2" w:rsidRPr="009517E2" w:rsidRDefault="009517E2" w:rsidP="009517E2">
      <w:pPr>
        <w:spacing w:line="276" w:lineRule="auto"/>
        <w:rPr>
          <w:sz w:val="24"/>
          <w:szCs w:val="24"/>
        </w:rPr>
      </w:pPr>
      <w:r w:rsidRPr="009517E2">
        <w:rPr>
          <w:sz w:val="24"/>
          <w:szCs w:val="24"/>
        </w:rPr>
        <w:t>Metadata available at: https://unstats.un.org/sdgs/metadata/files/Metadata-08-0b-01.pdf</w:t>
      </w:r>
    </w:p>
    <w:p w14:paraId="349A8E31" w14:textId="77777777" w:rsidR="009517E2" w:rsidRPr="009517E2" w:rsidRDefault="009517E2" w:rsidP="009517E2">
      <w:pPr>
        <w:spacing w:line="276" w:lineRule="auto"/>
        <w:rPr>
          <w:sz w:val="24"/>
          <w:szCs w:val="24"/>
        </w:rPr>
      </w:pPr>
    </w:p>
    <w:p w14:paraId="38449371" w14:textId="284DBC67" w:rsidR="009517E2" w:rsidRDefault="009517E2" w:rsidP="009517E2">
      <w:pPr>
        <w:spacing w:line="276" w:lineRule="auto"/>
        <w:rPr>
          <w:sz w:val="24"/>
          <w:szCs w:val="24"/>
        </w:rPr>
      </w:pPr>
      <w:r w:rsidRPr="009517E2">
        <w:rPr>
          <w:sz w:val="24"/>
          <w:szCs w:val="24"/>
        </w:rPr>
        <w:t>Detailed sources: ILO estimates based on information collected directly from national governments.</w:t>
      </w:r>
    </w:p>
    <w:p w14:paraId="4B38247E" w14:textId="41BF4F62" w:rsidR="0082467D" w:rsidRDefault="0082467D" w:rsidP="0082467D">
      <w:pPr>
        <w:spacing w:line="276" w:lineRule="auto"/>
        <w:rPr>
          <w:sz w:val="24"/>
          <w:szCs w:val="24"/>
        </w:rPr>
      </w:pPr>
    </w:p>
    <w:p w14:paraId="63553D0A" w14:textId="77777777" w:rsidR="0082467D" w:rsidRDefault="0082467D">
      <w:pPr>
        <w:rPr>
          <w:sz w:val="24"/>
          <w:szCs w:val="24"/>
        </w:rPr>
      </w:pPr>
      <w:r>
        <w:rPr>
          <w:sz w:val="24"/>
          <w:szCs w:val="24"/>
        </w:rPr>
        <w:br w:type="page"/>
      </w:r>
    </w:p>
    <w:p w14:paraId="0A999A40" w14:textId="77777777" w:rsidR="0082467D" w:rsidRPr="00E93163" w:rsidRDefault="0082467D" w:rsidP="0082467D">
      <w:pPr>
        <w:spacing w:line="276" w:lineRule="auto"/>
        <w:rPr>
          <w:sz w:val="24"/>
          <w:szCs w:val="24"/>
        </w:rPr>
      </w:pPr>
    </w:p>
    <w:sectPr w:rsidR="0082467D" w:rsidRPr="00E93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08"/>
    <w:rsid w:val="00194052"/>
    <w:rsid w:val="002737CA"/>
    <w:rsid w:val="00340FE2"/>
    <w:rsid w:val="00386D08"/>
    <w:rsid w:val="0082467D"/>
    <w:rsid w:val="009517E2"/>
    <w:rsid w:val="00E9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ED54"/>
  <w15:chartTrackingRefBased/>
  <w15:docId w15:val="{00C1B97F-A38C-4C37-A0B4-0492EB225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1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40FE2"/>
    <w:rPr>
      <w:color w:val="0563C1" w:themeColor="hyperlink"/>
      <w:u w:val="single"/>
    </w:rPr>
  </w:style>
  <w:style w:type="character" w:styleId="UnresolvedMention">
    <w:name w:val="Unresolved Mention"/>
    <w:basedOn w:val="DefaultParagraphFont"/>
    <w:uiPriority w:val="99"/>
    <w:semiHidden/>
    <w:unhideWhenUsed/>
    <w:rsid w:val="00340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ata.worldbank.org/data-catalog/world-development-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PSAT Lakshani</dc:creator>
  <cp:keywords/>
  <dc:description/>
  <cp:lastModifiedBy>PSAT Lakshani</cp:lastModifiedBy>
  <cp:revision>5</cp:revision>
  <dcterms:created xsi:type="dcterms:W3CDTF">2022-01-15T15:46:00Z</dcterms:created>
  <dcterms:modified xsi:type="dcterms:W3CDTF">2022-01-15T16:06:00Z</dcterms:modified>
</cp:coreProperties>
</file>