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koqp1zr190fb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Operations &amp; Training 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Project Manager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Draft / Final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Mar 1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Mar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objective of the project is to create a new line of product for customers to help everyone personally reduce Greenhouse Emission and create a new revenue stream for the company 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[Detail the length of the project, project milestones, and introduce potential risks here.]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project is 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Your team estimates a 50% chance this risk will occur. If it does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A product vendor charges a higher rate than expected.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A product vendor loses a product shipment.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Your Training Manager gets sick and misses a week of training.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You cannot hire enough employees in time to train them before launch.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&amp;CONTROL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More than 50% of employees quit after a difficult training process, leaving the company short-staffed.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