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837C8" w14:textId="77777777" w:rsidR="009B722D" w:rsidRDefault="009B722D">
      <w:pPr>
        <w:jc w:val="center"/>
        <w:rPr>
          <w:b/>
          <w:sz w:val="60"/>
          <w:szCs w:val="60"/>
        </w:rPr>
      </w:pPr>
    </w:p>
    <w:p w14:paraId="25D0BE70" w14:textId="77777777" w:rsidR="009B722D" w:rsidRDefault="009B722D">
      <w:pPr>
        <w:jc w:val="center"/>
        <w:rPr>
          <w:b/>
          <w:sz w:val="60"/>
          <w:szCs w:val="60"/>
        </w:rPr>
      </w:pPr>
    </w:p>
    <w:p w14:paraId="54268CCD" w14:textId="77777777" w:rsidR="009B722D" w:rsidRDefault="002423E8">
      <w:pPr>
        <w:jc w:val="center"/>
        <w:rPr>
          <w:b/>
          <w:sz w:val="60"/>
          <w:szCs w:val="60"/>
        </w:rPr>
      </w:pPr>
      <w:r>
        <w:rPr>
          <w:b/>
          <w:sz w:val="60"/>
          <w:szCs w:val="60"/>
        </w:rPr>
        <w:t>TIBCO Spotfire</w:t>
      </w:r>
    </w:p>
    <w:p w14:paraId="65F48490" w14:textId="77777777" w:rsidR="009B722D" w:rsidRDefault="002423E8">
      <w:pPr>
        <w:jc w:val="center"/>
        <w:rPr>
          <w:b/>
          <w:sz w:val="60"/>
          <w:szCs w:val="60"/>
        </w:rPr>
      </w:pPr>
      <w:r>
        <w:rPr>
          <w:b/>
          <w:sz w:val="60"/>
          <w:szCs w:val="60"/>
        </w:rPr>
        <w:t>Web Client</w:t>
      </w:r>
    </w:p>
    <w:p w14:paraId="708E7E52" w14:textId="77777777" w:rsidR="009B722D" w:rsidRDefault="002423E8">
      <w:pPr>
        <w:jc w:val="center"/>
        <w:rPr>
          <w:b/>
          <w:sz w:val="60"/>
          <w:szCs w:val="60"/>
        </w:rPr>
      </w:pPr>
      <w:r>
        <w:rPr>
          <w:b/>
          <w:sz w:val="60"/>
          <w:szCs w:val="60"/>
        </w:rPr>
        <w:t>Documentation</w:t>
      </w:r>
    </w:p>
    <w:p w14:paraId="25911337" w14:textId="77777777" w:rsidR="009B722D" w:rsidRDefault="009B722D">
      <w:pPr>
        <w:jc w:val="center"/>
        <w:rPr>
          <w:b/>
          <w:sz w:val="60"/>
          <w:szCs w:val="60"/>
        </w:rPr>
      </w:pPr>
    </w:p>
    <w:p w14:paraId="499AEF89" w14:textId="77777777" w:rsidR="009B722D" w:rsidRDefault="002423E8">
      <w:r>
        <w:br w:type="page"/>
      </w:r>
    </w:p>
    <w:p w14:paraId="57E42A58" w14:textId="77777777" w:rsidR="009B722D" w:rsidRDefault="002423E8">
      <w:pPr>
        <w:rPr>
          <w:sz w:val="28"/>
          <w:szCs w:val="28"/>
        </w:rPr>
      </w:pPr>
      <w:r>
        <w:rPr>
          <w:b/>
          <w:sz w:val="28"/>
          <w:szCs w:val="28"/>
        </w:rPr>
        <w:lastRenderedPageBreak/>
        <w:t>Table Of Contents</w:t>
      </w:r>
    </w:p>
    <w:p w14:paraId="6739480F" w14:textId="77777777" w:rsidR="009B722D" w:rsidRDefault="009B722D"/>
    <w:p w14:paraId="1B8E5C57" w14:textId="77777777" w:rsidR="009B722D" w:rsidRDefault="002423E8">
      <w:pPr>
        <w:numPr>
          <w:ilvl w:val="0"/>
          <w:numId w:val="1"/>
        </w:numPr>
        <w:rPr>
          <w:b/>
        </w:rPr>
      </w:pPr>
      <w:r>
        <w:rPr>
          <w:b/>
          <w:sz w:val="28"/>
          <w:szCs w:val="28"/>
        </w:rPr>
        <w:t>Introduction……………………………………………</w:t>
      </w:r>
      <w:r>
        <w:rPr>
          <w:b/>
          <w:sz w:val="28"/>
          <w:szCs w:val="28"/>
        </w:rPr>
        <w:tab/>
      </w:r>
      <w:r>
        <w:rPr>
          <w:b/>
          <w:sz w:val="24"/>
          <w:szCs w:val="24"/>
        </w:rPr>
        <w:t>2</w:t>
      </w:r>
    </w:p>
    <w:p w14:paraId="3F7936DE" w14:textId="77777777" w:rsidR="009B722D" w:rsidRDefault="002423E8">
      <w:pPr>
        <w:numPr>
          <w:ilvl w:val="0"/>
          <w:numId w:val="1"/>
        </w:numPr>
        <w:spacing w:before="200"/>
        <w:rPr>
          <w:b/>
        </w:rPr>
      </w:pPr>
      <w:r>
        <w:rPr>
          <w:b/>
          <w:sz w:val="28"/>
          <w:szCs w:val="28"/>
        </w:rPr>
        <w:t>Prerequisites……….………………………………....</w:t>
      </w:r>
      <w:r>
        <w:rPr>
          <w:b/>
          <w:sz w:val="28"/>
          <w:szCs w:val="28"/>
        </w:rPr>
        <w:tab/>
      </w:r>
      <w:r>
        <w:rPr>
          <w:b/>
          <w:sz w:val="24"/>
          <w:szCs w:val="24"/>
        </w:rPr>
        <w:t xml:space="preserve">2 </w:t>
      </w:r>
    </w:p>
    <w:p w14:paraId="283AC482" w14:textId="77777777" w:rsidR="009B722D" w:rsidRDefault="002423E8">
      <w:pPr>
        <w:numPr>
          <w:ilvl w:val="0"/>
          <w:numId w:val="1"/>
        </w:numPr>
        <w:spacing w:before="200"/>
        <w:rPr>
          <w:b/>
        </w:rPr>
      </w:pPr>
      <w:r>
        <w:rPr>
          <w:b/>
          <w:sz w:val="28"/>
          <w:szCs w:val="28"/>
        </w:rPr>
        <w:t>TIBCO Cloud Website…………………………..…...</w:t>
      </w:r>
      <w:r>
        <w:rPr>
          <w:b/>
          <w:sz w:val="28"/>
          <w:szCs w:val="28"/>
        </w:rPr>
        <w:tab/>
      </w:r>
      <w:r>
        <w:rPr>
          <w:b/>
          <w:sz w:val="24"/>
          <w:szCs w:val="24"/>
        </w:rPr>
        <w:t>3 - 4</w:t>
      </w:r>
    </w:p>
    <w:p w14:paraId="71916B3E" w14:textId="77777777" w:rsidR="009B722D" w:rsidRDefault="002423E8">
      <w:pPr>
        <w:numPr>
          <w:ilvl w:val="1"/>
          <w:numId w:val="1"/>
        </w:numPr>
        <w:rPr>
          <w:b/>
          <w:color w:val="1C1E21"/>
        </w:rPr>
      </w:pPr>
      <w:r>
        <w:rPr>
          <w:b/>
          <w:color w:val="1C1E21"/>
        </w:rPr>
        <w:t>Homepage Navigation………...…………………………….</w:t>
      </w:r>
      <w:r>
        <w:rPr>
          <w:b/>
          <w:color w:val="1C1E21"/>
        </w:rPr>
        <w:tab/>
      </w:r>
      <w:r>
        <w:rPr>
          <w:b/>
          <w:color w:val="1C1E21"/>
          <w:sz w:val="24"/>
          <w:szCs w:val="24"/>
        </w:rPr>
        <w:t>3</w:t>
      </w:r>
    </w:p>
    <w:p w14:paraId="72CC1651" w14:textId="77777777" w:rsidR="009B722D" w:rsidRDefault="002423E8">
      <w:pPr>
        <w:numPr>
          <w:ilvl w:val="1"/>
          <w:numId w:val="1"/>
        </w:numPr>
        <w:rPr>
          <w:b/>
          <w:color w:val="1C1E21"/>
        </w:rPr>
      </w:pPr>
      <w:r>
        <w:rPr>
          <w:b/>
          <w:color w:val="1C1E21"/>
        </w:rPr>
        <w:t>TIBCO Spotfire Web Client......…………………………….</w:t>
      </w:r>
      <w:r>
        <w:rPr>
          <w:b/>
          <w:color w:val="1C1E21"/>
        </w:rPr>
        <w:tab/>
      </w:r>
      <w:r>
        <w:rPr>
          <w:b/>
          <w:color w:val="1C1E21"/>
          <w:sz w:val="24"/>
          <w:szCs w:val="24"/>
        </w:rPr>
        <w:t>4</w:t>
      </w:r>
      <w:r>
        <w:rPr>
          <w:b/>
          <w:color w:val="1C1E21"/>
          <w:sz w:val="24"/>
          <w:szCs w:val="24"/>
        </w:rPr>
        <w:tab/>
      </w:r>
    </w:p>
    <w:p w14:paraId="1A8117BD" w14:textId="77777777" w:rsidR="009B722D" w:rsidRDefault="002423E8">
      <w:pPr>
        <w:numPr>
          <w:ilvl w:val="0"/>
          <w:numId w:val="1"/>
        </w:numPr>
        <w:spacing w:before="200"/>
        <w:rPr>
          <w:b/>
        </w:rPr>
      </w:pPr>
      <w:r>
        <w:rPr>
          <w:b/>
          <w:sz w:val="28"/>
          <w:szCs w:val="28"/>
        </w:rPr>
        <w:t>How To Use………………………………………….</w:t>
      </w:r>
      <w:r>
        <w:rPr>
          <w:b/>
          <w:sz w:val="28"/>
          <w:szCs w:val="28"/>
        </w:rPr>
        <w:tab/>
      </w:r>
      <w:r>
        <w:rPr>
          <w:b/>
          <w:sz w:val="24"/>
          <w:szCs w:val="24"/>
        </w:rPr>
        <w:t>5</w:t>
      </w:r>
      <w:r>
        <w:rPr>
          <w:b/>
          <w:color w:val="1C1E21"/>
          <w:sz w:val="24"/>
          <w:szCs w:val="24"/>
        </w:rPr>
        <w:t xml:space="preserve"> - 6</w:t>
      </w:r>
    </w:p>
    <w:p w14:paraId="6578804E" w14:textId="77777777" w:rsidR="009B722D" w:rsidRDefault="002423E8">
      <w:pPr>
        <w:numPr>
          <w:ilvl w:val="1"/>
          <w:numId w:val="1"/>
        </w:numPr>
        <w:rPr>
          <w:b/>
          <w:color w:val="1C1E21"/>
        </w:rPr>
      </w:pPr>
      <w:r>
        <w:rPr>
          <w:b/>
          <w:color w:val="1C1E21"/>
        </w:rPr>
        <w:t>Loading Data……………………………………...……….</w:t>
      </w:r>
      <w:r>
        <w:rPr>
          <w:b/>
          <w:color w:val="1C1E21"/>
        </w:rPr>
        <w:tab/>
      </w:r>
      <w:r>
        <w:rPr>
          <w:b/>
          <w:color w:val="1C1E21"/>
          <w:sz w:val="24"/>
          <w:szCs w:val="24"/>
        </w:rPr>
        <w:t>5</w:t>
      </w:r>
    </w:p>
    <w:p w14:paraId="5ADF1796" w14:textId="77777777" w:rsidR="009B722D" w:rsidRDefault="002423E8">
      <w:pPr>
        <w:numPr>
          <w:ilvl w:val="1"/>
          <w:numId w:val="1"/>
        </w:numPr>
        <w:rPr>
          <w:b/>
          <w:color w:val="1C1E21"/>
        </w:rPr>
      </w:pPr>
      <w:r>
        <w:rPr>
          <w:b/>
          <w:color w:val="1C1E21"/>
        </w:rPr>
        <w:t>Creating Visuals...………………………………...……….</w:t>
      </w:r>
      <w:r>
        <w:rPr>
          <w:b/>
          <w:color w:val="1C1E21"/>
        </w:rPr>
        <w:tab/>
      </w:r>
      <w:r>
        <w:rPr>
          <w:b/>
          <w:color w:val="1C1E21"/>
          <w:sz w:val="24"/>
          <w:szCs w:val="24"/>
        </w:rPr>
        <w:t>5</w:t>
      </w:r>
    </w:p>
    <w:p w14:paraId="3B98BADF" w14:textId="77777777" w:rsidR="009B722D" w:rsidRDefault="002423E8">
      <w:pPr>
        <w:numPr>
          <w:ilvl w:val="1"/>
          <w:numId w:val="1"/>
        </w:numPr>
        <w:rPr>
          <w:b/>
          <w:color w:val="1C1E21"/>
        </w:rPr>
      </w:pPr>
      <w:proofErr w:type="spellStart"/>
      <w:r>
        <w:rPr>
          <w:b/>
          <w:color w:val="1C1E21"/>
        </w:rPr>
        <w:t>Visualisation</w:t>
      </w:r>
      <w:proofErr w:type="spellEnd"/>
      <w:r>
        <w:rPr>
          <w:b/>
          <w:color w:val="1C1E21"/>
        </w:rPr>
        <w:t xml:space="preserve"> Options.…………………………...……….</w:t>
      </w:r>
      <w:r>
        <w:rPr>
          <w:b/>
          <w:color w:val="1C1E21"/>
        </w:rPr>
        <w:tab/>
      </w:r>
      <w:r>
        <w:rPr>
          <w:b/>
          <w:color w:val="1C1E21"/>
          <w:sz w:val="24"/>
          <w:szCs w:val="24"/>
        </w:rPr>
        <w:t>6</w:t>
      </w:r>
    </w:p>
    <w:p w14:paraId="6D45CDA2" w14:textId="77777777" w:rsidR="009B722D" w:rsidRDefault="009B722D">
      <w:pPr>
        <w:rPr>
          <w:b/>
          <w:sz w:val="28"/>
          <w:szCs w:val="28"/>
        </w:rPr>
      </w:pPr>
    </w:p>
    <w:p w14:paraId="29EEAAC7" w14:textId="77777777" w:rsidR="009B722D" w:rsidRDefault="009B722D">
      <w:pPr>
        <w:rPr>
          <w:b/>
          <w:sz w:val="28"/>
          <w:szCs w:val="28"/>
        </w:rPr>
      </w:pPr>
    </w:p>
    <w:p w14:paraId="441A4F90" w14:textId="77777777" w:rsidR="009B722D" w:rsidRDefault="009B722D">
      <w:pPr>
        <w:rPr>
          <w:b/>
          <w:sz w:val="28"/>
          <w:szCs w:val="28"/>
        </w:rPr>
      </w:pPr>
    </w:p>
    <w:p w14:paraId="406B14CA" w14:textId="77777777" w:rsidR="009B722D" w:rsidRDefault="002423E8">
      <w:pPr>
        <w:rPr>
          <w:b/>
          <w:sz w:val="28"/>
          <w:szCs w:val="28"/>
        </w:rPr>
      </w:pPr>
      <w:r>
        <w:br w:type="page"/>
      </w:r>
    </w:p>
    <w:p w14:paraId="67095C2D" w14:textId="77777777" w:rsidR="009B722D" w:rsidRDefault="002423E8">
      <w:pPr>
        <w:rPr>
          <w:sz w:val="28"/>
          <w:szCs w:val="28"/>
        </w:rPr>
      </w:pPr>
      <w:r>
        <w:rPr>
          <w:b/>
          <w:sz w:val="28"/>
          <w:szCs w:val="28"/>
        </w:rPr>
        <w:lastRenderedPageBreak/>
        <w:t>1.</w:t>
      </w:r>
      <w:r>
        <w:rPr>
          <w:b/>
          <w:sz w:val="28"/>
          <w:szCs w:val="28"/>
        </w:rPr>
        <w:tab/>
        <w:t>Introduction</w:t>
      </w:r>
    </w:p>
    <w:p w14:paraId="6D221F88" w14:textId="77777777" w:rsidR="009B722D" w:rsidRDefault="002423E8">
      <w:r>
        <w:t>The TIBCO Spotfire Web Client is pr</w:t>
      </w:r>
      <w:r>
        <w:t>ovided to users with any type of Spotfire Subscription. It is also the inferior version from its desktop application counterpart as it offers a lesser set of features and applications.</w:t>
      </w:r>
    </w:p>
    <w:p w14:paraId="5120A7E8" w14:textId="77777777" w:rsidR="009B722D" w:rsidRDefault="009B722D"/>
    <w:p w14:paraId="6CD640BA" w14:textId="77777777" w:rsidR="009B722D" w:rsidRDefault="009B722D"/>
    <w:p w14:paraId="727E0A6A" w14:textId="77777777" w:rsidR="009B722D" w:rsidRDefault="002423E8">
      <w:pPr>
        <w:rPr>
          <w:b/>
          <w:sz w:val="28"/>
          <w:szCs w:val="28"/>
        </w:rPr>
      </w:pPr>
      <w:r>
        <w:rPr>
          <w:b/>
          <w:sz w:val="28"/>
          <w:szCs w:val="28"/>
        </w:rPr>
        <w:t>2.</w:t>
      </w:r>
      <w:r>
        <w:rPr>
          <w:b/>
          <w:sz w:val="28"/>
          <w:szCs w:val="28"/>
        </w:rPr>
        <w:tab/>
        <w:t>Prerequisites</w:t>
      </w:r>
    </w:p>
    <w:p w14:paraId="6862859B" w14:textId="77777777" w:rsidR="009B722D" w:rsidRDefault="002423E8">
      <w:r>
        <w:t xml:space="preserve">Before continuing this documentation, it is important that you have a </w:t>
      </w:r>
      <w:r>
        <w:rPr>
          <w:b/>
        </w:rPr>
        <w:t>TIBCO Cloud account created, with a TIBCO Spotfire Analyst Subscription</w:t>
      </w:r>
      <w:r>
        <w:t>.</w:t>
      </w:r>
    </w:p>
    <w:p w14:paraId="26AC8A50" w14:textId="77777777" w:rsidR="009B722D" w:rsidRDefault="009B722D"/>
    <w:p w14:paraId="4442F455" w14:textId="77777777" w:rsidR="009B722D" w:rsidRDefault="002423E8">
      <w:r>
        <w:t>To prevent confusion, you must also read and understood the basic concepts mentioned in the “TIBCO Spotfire Intr</w:t>
      </w:r>
      <w:r>
        <w:t>oduction Documentation” report. Documentation mentioned in the introduction will be used in this Spotfire Desktop App documentation.</w:t>
      </w:r>
    </w:p>
    <w:p w14:paraId="57A42F7A" w14:textId="77777777" w:rsidR="009B722D" w:rsidRDefault="002423E8">
      <w:pPr>
        <w:rPr>
          <w:b/>
          <w:sz w:val="28"/>
          <w:szCs w:val="28"/>
        </w:rPr>
      </w:pPr>
      <w:r>
        <w:br w:type="page"/>
      </w:r>
    </w:p>
    <w:p w14:paraId="50BE49EA" w14:textId="77777777" w:rsidR="009B722D" w:rsidRDefault="002423E8">
      <w:pPr>
        <w:rPr>
          <w:b/>
          <w:sz w:val="28"/>
          <w:szCs w:val="28"/>
        </w:rPr>
      </w:pPr>
      <w:r>
        <w:rPr>
          <w:b/>
          <w:sz w:val="28"/>
          <w:szCs w:val="28"/>
        </w:rPr>
        <w:lastRenderedPageBreak/>
        <w:t>3.</w:t>
      </w:r>
      <w:r>
        <w:rPr>
          <w:b/>
          <w:sz w:val="28"/>
          <w:szCs w:val="28"/>
        </w:rPr>
        <w:tab/>
        <w:t>TIBCO Cloud Website</w:t>
      </w:r>
    </w:p>
    <w:p w14:paraId="2F2673BF" w14:textId="77777777" w:rsidR="009B722D" w:rsidRDefault="002423E8">
      <w:r>
        <w:t xml:space="preserve">TIBCO Cloud can be visited </w:t>
      </w:r>
      <w:hyperlink r:id="rId7">
        <w:r>
          <w:rPr>
            <w:color w:val="1155CC"/>
            <w:u w:val="single"/>
          </w:rPr>
          <w:t>here</w:t>
        </w:r>
      </w:hyperlink>
      <w:r>
        <w:t xml:space="preserve">. When inside the website, </w:t>
      </w:r>
      <w:r>
        <w:rPr>
          <w:b/>
        </w:rPr>
        <w:t>login into your account at the top right corner</w:t>
      </w:r>
      <w:r>
        <w:t>. Once logged in, you will be greeted with the TIBCO Cloud Account Homepage.</w:t>
      </w:r>
    </w:p>
    <w:p w14:paraId="713322C7" w14:textId="77777777" w:rsidR="009B722D" w:rsidRDefault="009B722D"/>
    <w:p w14:paraId="51CA1591" w14:textId="77777777" w:rsidR="009B722D" w:rsidRDefault="009B722D"/>
    <w:p w14:paraId="50AA3D75" w14:textId="77777777" w:rsidR="009B722D" w:rsidRDefault="002423E8">
      <w:pPr>
        <w:rPr>
          <w:b/>
          <w:sz w:val="28"/>
          <w:szCs w:val="28"/>
        </w:rPr>
      </w:pPr>
      <w:r>
        <w:rPr>
          <w:b/>
          <w:sz w:val="28"/>
          <w:szCs w:val="28"/>
        </w:rPr>
        <w:t>3.1</w:t>
      </w:r>
      <w:r>
        <w:rPr>
          <w:b/>
          <w:sz w:val="28"/>
          <w:szCs w:val="28"/>
        </w:rPr>
        <w:tab/>
        <w:t>Homepage Navigation</w:t>
      </w:r>
    </w:p>
    <w:p w14:paraId="2E048CEB" w14:textId="77777777" w:rsidR="009B722D" w:rsidRDefault="002423E8">
      <w:r>
        <w:t xml:space="preserve">Inside the TIBCO Cloud Account Homepage will display a plethora of icons. Each </w:t>
      </w:r>
      <w:r>
        <w:t xml:space="preserve">icon represents a service provided inside the TIBCO Cloud website. For this documentation, we will be looking into the </w:t>
      </w:r>
      <w:r>
        <w:rPr>
          <w:b/>
        </w:rPr>
        <w:t>Analytics icon</w:t>
      </w:r>
      <w:r>
        <w:t xml:space="preserve">, where it contains the TIBCO Spotfire service. Click on the </w:t>
      </w:r>
      <w:r>
        <w:rPr>
          <w:b/>
        </w:rPr>
        <w:t>Analytics icon then select the TIBCO Spotfire service</w:t>
      </w:r>
      <w:r>
        <w:t>.</w:t>
      </w:r>
    </w:p>
    <w:p w14:paraId="7F9EDDEC" w14:textId="77777777" w:rsidR="009B722D" w:rsidRDefault="002423E8">
      <w:pPr>
        <w:jc w:val="center"/>
      </w:pPr>
      <w:r>
        <w:rPr>
          <w:noProof/>
        </w:rPr>
        <w:drawing>
          <wp:inline distT="114300" distB="114300" distL="114300" distR="114300" wp14:anchorId="14DE6742" wp14:editId="332C0D78">
            <wp:extent cx="3981450" cy="235060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81450" cy="2350604"/>
                    </a:xfrm>
                    <a:prstGeom prst="rect">
                      <a:avLst/>
                    </a:prstGeom>
                    <a:ln/>
                  </pic:spPr>
                </pic:pic>
              </a:graphicData>
            </a:graphic>
          </wp:inline>
        </w:drawing>
      </w:r>
    </w:p>
    <w:p w14:paraId="0CB49CAD" w14:textId="77777777" w:rsidR="009B722D" w:rsidRDefault="009B722D"/>
    <w:p w14:paraId="07EB48BB" w14:textId="77777777" w:rsidR="009B722D" w:rsidRDefault="002423E8">
      <w:r>
        <w:rPr>
          <w:b/>
        </w:rPr>
        <w:t>Alte</w:t>
      </w:r>
      <w:r>
        <w:rPr>
          <w:b/>
        </w:rPr>
        <w:t>rnatively</w:t>
      </w:r>
      <w:r>
        <w:t xml:space="preserve">, you can access Spotfire by clicking on the </w:t>
      </w:r>
      <w:r>
        <w:rPr>
          <w:b/>
        </w:rPr>
        <w:t>“Subscriptions” tab then select “Spotfire”</w:t>
      </w:r>
      <w:r>
        <w:t>, and launch the application. The website will then redirect you to the exclusive webpages for TIBCO Spotfire.</w:t>
      </w:r>
    </w:p>
    <w:p w14:paraId="6851E408" w14:textId="77777777" w:rsidR="009B722D" w:rsidRDefault="009B722D"/>
    <w:p w14:paraId="28A5E64B" w14:textId="77777777" w:rsidR="009B722D" w:rsidRDefault="002423E8">
      <w:pPr>
        <w:jc w:val="center"/>
      </w:pPr>
      <w:r>
        <w:rPr>
          <w:noProof/>
        </w:rPr>
        <w:drawing>
          <wp:inline distT="114300" distB="114300" distL="114300" distR="114300" wp14:anchorId="3C0D7ACD" wp14:editId="6C2CEBE1">
            <wp:extent cx="2847975" cy="201158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47975" cy="2011581"/>
                    </a:xfrm>
                    <a:prstGeom prst="rect">
                      <a:avLst/>
                    </a:prstGeom>
                    <a:ln/>
                  </pic:spPr>
                </pic:pic>
              </a:graphicData>
            </a:graphic>
          </wp:inline>
        </w:drawing>
      </w:r>
    </w:p>
    <w:p w14:paraId="7F80877C" w14:textId="77777777" w:rsidR="009B722D" w:rsidRDefault="002423E8">
      <w:pPr>
        <w:rPr>
          <w:b/>
          <w:color w:val="FF0000"/>
        </w:rPr>
      </w:pPr>
      <w:r>
        <w:br w:type="page"/>
      </w:r>
    </w:p>
    <w:p w14:paraId="00DAA1C0" w14:textId="77777777" w:rsidR="009B722D" w:rsidRDefault="002423E8">
      <w:pPr>
        <w:rPr>
          <w:b/>
          <w:color w:val="FF0000"/>
        </w:rPr>
      </w:pPr>
      <w:r>
        <w:rPr>
          <w:b/>
          <w:sz w:val="28"/>
          <w:szCs w:val="28"/>
        </w:rPr>
        <w:lastRenderedPageBreak/>
        <w:t>3.2</w:t>
      </w:r>
      <w:r>
        <w:rPr>
          <w:b/>
          <w:sz w:val="28"/>
          <w:szCs w:val="28"/>
        </w:rPr>
        <w:tab/>
        <w:t>TIBCO Spotfire Web Client</w:t>
      </w:r>
    </w:p>
    <w:p w14:paraId="5E7C0669" w14:textId="77777777" w:rsidR="009B722D" w:rsidRDefault="002423E8">
      <w:r>
        <w:t>An official do</w:t>
      </w:r>
      <w:r>
        <w:t xml:space="preserve">cumentation guide to using TIBCO Spotfire can be found </w:t>
      </w:r>
      <w:hyperlink r:id="rId10">
        <w:r>
          <w:rPr>
            <w:color w:val="1155CC"/>
            <w:u w:val="single"/>
          </w:rPr>
          <w:t>here</w:t>
        </w:r>
      </w:hyperlink>
      <w:r>
        <w:t>. I will be explaining my own version of my guide below.</w:t>
      </w:r>
    </w:p>
    <w:p w14:paraId="570EC4CF" w14:textId="77777777" w:rsidR="009B722D" w:rsidRDefault="009B722D"/>
    <w:p w14:paraId="6CA11642" w14:textId="77777777" w:rsidR="009B722D" w:rsidRDefault="002423E8">
      <w:r>
        <w:t>To start off with TIBCO Spotfire Web Client, you will be greete</w:t>
      </w:r>
      <w:r>
        <w:t>d with the following screen once entered.</w:t>
      </w:r>
      <w:r>
        <w:rPr>
          <w:noProof/>
        </w:rPr>
        <w:drawing>
          <wp:inline distT="114300" distB="114300" distL="114300" distR="114300" wp14:anchorId="1261F5AD" wp14:editId="531AA6B8">
            <wp:extent cx="5943600" cy="298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984500"/>
                    </a:xfrm>
                    <a:prstGeom prst="rect">
                      <a:avLst/>
                    </a:prstGeom>
                    <a:ln/>
                  </pic:spPr>
                </pic:pic>
              </a:graphicData>
            </a:graphic>
          </wp:inline>
        </w:drawing>
      </w:r>
    </w:p>
    <w:p w14:paraId="7ADFD2BE" w14:textId="77777777" w:rsidR="009B722D" w:rsidRDefault="009B722D"/>
    <w:p w14:paraId="77A4AB19" w14:textId="77777777" w:rsidR="009B722D" w:rsidRDefault="002423E8">
      <w:pPr>
        <w:rPr>
          <w:b/>
          <w:sz w:val="28"/>
          <w:szCs w:val="28"/>
        </w:rPr>
      </w:pPr>
      <w:r>
        <w:br w:type="page"/>
      </w:r>
    </w:p>
    <w:p w14:paraId="0344C377" w14:textId="77777777" w:rsidR="009B722D" w:rsidRDefault="002423E8">
      <w:pPr>
        <w:rPr>
          <w:b/>
          <w:sz w:val="28"/>
          <w:szCs w:val="28"/>
        </w:rPr>
      </w:pPr>
      <w:r>
        <w:rPr>
          <w:b/>
          <w:sz w:val="28"/>
          <w:szCs w:val="28"/>
        </w:rPr>
        <w:lastRenderedPageBreak/>
        <w:t>4</w:t>
      </w:r>
      <w:r>
        <w:rPr>
          <w:b/>
          <w:sz w:val="28"/>
          <w:szCs w:val="28"/>
        </w:rPr>
        <w:tab/>
        <w:t>How To Use</w:t>
      </w:r>
    </w:p>
    <w:p w14:paraId="000B5692" w14:textId="77777777" w:rsidR="009B722D" w:rsidRDefault="002423E8">
      <w:pPr>
        <w:rPr>
          <w:b/>
          <w:sz w:val="28"/>
          <w:szCs w:val="28"/>
        </w:rPr>
      </w:pPr>
      <w:r>
        <w:rPr>
          <w:b/>
          <w:sz w:val="28"/>
          <w:szCs w:val="28"/>
        </w:rPr>
        <w:t>4.1</w:t>
      </w:r>
      <w:r>
        <w:rPr>
          <w:b/>
          <w:sz w:val="28"/>
          <w:szCs w:val="28"/>
        </w:rPr>
        <w:tab/>
        <w:t>Loading Data</w:t>
      </w:r>
    </w:p>
    <w:p w14:paraId="4E04C435" w14:textId="77777777" w:rsidR="009B722D" w:rsidRDefault="002423E8">
      <w:r>
        <w:t xml:space="preserve">Greeted with an empty web page prompting to add/open a data source. </w:t>
      </w:r>
      <w:r>
        <w:rPr>
          <w:b/>
        </w:rPr>
        <w:t>To add/open a data source, click on the + icon that indicates “Files and data”</w:t>
      </w:r>
      <w:r>
        <w:t>.</w:t>
      </w:r>
    </w:p>
    <w:p w14:paraId="27E7F353" w14:textId="77777777" w:rsidR="009B722D" w:rsidRDefault="002423E8">
      <w:r>
        <w:t>This page will require you to co</w:t>
      </w:r>
      <w:r>
        <w:t xml:space="preserve">nnect to a data source. The data source can be either connected online, or by browsing local files. </w:t>
      </w:r>
      <w:r>
        <w:rPr>
          <w:b/>
        </w:rPr>
        <w:t>Upon a successful data source connection, an analysis will be created</w:t>
      </w:r>
      <w:r>
        <w:t>. With the Web Client, your options for online connections are very limited to only Goo</w:t>
      </w:r>
      <w:r>
        <w:t>gle Analytics and Salesforce.</w:t>
      </w:r>
    </w:p>
    <w:p w14:paraId="086E8A67" w14:textId="77777777" w:rsidR="009B722D" w:rsidRDefault="009B722D"/>
    <w:p w14:paraId="13C03D54" w14:textId="77777777" w:rsidR="009B722D" w:rsidRDefault="002423E8">
      <w:r>
        <w:t xml:space="preserve">As of writing this documentation, the </w:t>
      </w:r>
      <w:r>
        <w:rPr>
          <w:b/>
        </w:rPr>
        <w:t>accepted file formats</w:t>
      </w:r>
      <w:r>
        <w:t xml:space="preserve"> for data sources are as follows: </w:t>
      </w:r>
      <w:r>
        <w:rPr>
          <w:color w:val="333333"/>
        </w:rPr>
        <w:t>Microsoft Excel Workbooks (</w:t>
      </w:r>
      <w:r>
        <w:rPr>
          <w:b/>
          <w:color w:val="333333"/>
        </w:rPr>
        <w:t>.xlsx, .</w:t>
      </w:r>
      <w:proofErr w:type="spellStart"/>
      <w:r>
        <w:rPr>
          <w:b/>
          <w:color w:val="333333"/>
        </w:rPr>
        <w:t>xls</w:t>
      </w:r>
      <w:proofErr w:type="spellEnd"/>
      <w:r>
        <w:rPr>
          <w:color w:val="333333"/>
        </w:rPr>
        <w:t>), Microsoft Excel Binary Workbooks (</w:t>
      </w:r>
      <w:r>
        <w:rPr>
          <w:b/>
          <w:color w:val="333333"/>
        </w:rPr>
        <w:t>.</w:t>
      </w:r>
      <w:proofErr w:type="spellStart"/>
      <w:r>
        <w:rPr>
          <w:b/>
          <w:color w:val="333333"/>
        </w:rPr>
        <w:t>xlsb</w:t>
      </w:r>
      <w:proofErr w:type="spellEnd"/>
      <w:r>
        <w:rPr>
          <w:color w:val="333333"/>
        </w:rPr>
        <w:t>), Microsoft Excel Macro-Enabled Workbooks (</w:t>
      </w:r>
      <w:r>
        <w:rPr>
          <w:b/>
          <w:color w:val="333333"/>
        </w:rPr>
        <w:t>.</w:t>
      </w:r>
      <w:proofErr w:type="spellStart"/>
      <w:r>
        <w:rPr>
          <w:b/>
          <w:color w:val="333333"/>
        </w:rPr>
        <w:t>xlsm</w:t>
      </w:r>
      <w:proofErr w:type="spellEnd"/>
      <w:r>
        <w:rPr>
          <w:color w:val="333333"/>
        </w:rPr>
        <w:t>), comma separated values files (</w:t>
      </w:r>
      <w:r>
        <w:rPr>
          <w:b/>
          <w:color w:val="333333"/>
        </w:rPr>
        <w:t>.csv</w:t>
      </w:r>
      <w:r>
        <w:rPr>
          <w:color w:val="333333"/>
        </w:rPr>
        <w:t>), text files (</w:t>
      </w:r>
      <w:r>
        <w:rPr>
          <w:b/>
          <w:color w:val="333333"/>
        </w:rPr>
        <w:t>.txt</w:t>
      </w:r>
      <w:r>
        <w:rPr>
          <w:color w:val="333333"/>
        </w:rPr>
        <w:t>), logfiles (</w:t>
      </w:r>
      <w:r>
        <w:rPr>
          <w:b/>
          <w:color w:val="333333"/>
        </w:rPr>
        <w:t>.log</w:t>
      </w:r>
      <w:r>
        <w:rPr>
          <w:color w:val="333333"/>
        </w:rPr>
        <w:t>), TIBCO Spotfire Text Data Format files (</w:t>
      </w:r>
      <w:r>
        <w:rPr>
          <w:b/>
          <w:color w:val="333333"/>
        </w:rPr>
        <w:t>.</w:t>
      </w:r>
      <w:proofErr w:type="spellStart"/>
      <w:r>
        <w:rPr>
          <w:b/>
          <w:color w:val="333333"/>
        </w:rPr>
        <w:t>stdf</w:t>
      </w:r>
      <w:proofErr w:type="spellEnd"/>
      <w:r>
        <w:rPr>
          <w:color w:val="333333"/>
        </w:rPr>
        <w:t>), and TIBCO Spotfire Binary Data Format files (</w:t>
      </w:r>
      <w:r>
        <w:rPr>
          <w:b/>
          <w:color w:val="333333"/>
        </w:rPr>
        <w:t>.</w:t>
      </w:r>
      <w:proofErr w:type="spellStart"/>
      <w:r>
        <w:rPr>
          <w:b/>
          <w:color w:val="333333"/>
        </w:rPr>
        <w:t>sbdf</w:t>
      </w:r>
      <w:proofErr w:type="spellEnd"/>
      <w:r>
        <w:rPr>
          <w:color w:val="333333"/>
        </w:rPr>
        <w:t>). You can also open locally saved TIBCO Spotfire analysis files (</w:t>
      </w:r>
      <w:r>
        <w:rPr>
          <w:b/>
          <w:color w:val="333333"/>
        </w:rPr>
        <w:t>.</w:t>
      </w:r>
      <w:proofErr w:type="spellStart"/>
      <w:r>
        <w:rPr>
          <w:b/>
          <w:color w:val="333333"/>
        </w:rPr>
        <w:t>dxp</w:t>
      </w:r>
      <w:proofErr w:type="spellEnd"/>
      <w:r>
        <w:rPr>
          <w:color w:val="333333"/>
        </w:rPr>
        <w:t>), but you will not create a new analysis; instead an existing analysis will be opened.</w:t>
      </w:r>
    </w:p>
    <w:p w14:paraId="50FD83ED" w14:textId="77777777" w:rsidR="009B722D" w:rsidRDefault="009B722D"/>
    <w:p w14:paraId="28BAEEB8" w14:textId="00CB7913" w:rsidR="009B722D" w:rsidRDefault="002423E8">
      <w:r>
        <w:rPr>
          <w:b/>
        </w:rPr>
        <w:t xml:space="preserve">Note: </w:t>
      </w:r>
      <w:r>
        <w:t>If you do not have a sample data-sourc</w:t>
      </w:r>
      <w:r>
        <w:t>e for testing, please refer to “</w:t>
      </w:r>
      <w:r>
        <w:rPr>
          <w:b/>
        </w:rPr>
        <w:t>2. Pre</w:t>
      </w:r>
      <w:r w:rsidR="00CE3073">
        <w:rPr>
          <w:b/>
        </w:rPr>
        <w:t>re</w:t>
      </w:r>
      <w:r>
        <w:rPr>
          <w:b/>
        </w:rPr>
        <w:t>quisit</w:t>
      </w:r>
      <w:r w:rsidR="00CE3073">
        <w:rPr>
          <w:b/>
        </w:rPr>
        <w:t>es</w:t>
      </w:r>
      <w:r>
        <w:rPr>
          <w:b/>
        </w:rPr>
        <w:t>”</w:t>
      </w:r>
      <w:r>
        <w:t>, where I explain where you can get a large collection of free data-sources.</w:t>
      </w:r>
    </w:p>
    <w:p w14:paraId="2664D798" w14:textId="77777777" w:rsidR="009B722D" w:rsidRDefault="009B722D">
      <w:pPr>
        <w:rPr>
          <w:b/>
          <w:color w:val="FF0000"/>
        </w:rPr>
      </w:pPr>
    </w:p>
    <w:p w14:paraId="05AFB864" w14:textId="77777777" w:rsidR="009B722D" w:rsidRDefault="002423E8">
      <w:pPr>
        <w:rPr>
          <w:b/>
          <w:color w:val="FF0000"/>
        </w:rPr>
      </w:pPr>
      <w:r>
        <w:rPr>
          <w:b/>
          <w:sz w:val="28"/>
          <w:szCs w:val="28"/>
        </w:rPr>
        <w:t>4.2</w:t>
      </w:r>
      <w:r>
        <w:rPr>
          <w:b/>
          <w:sz w:val="28"/>
          <w:szCs w:val="28"/>
        </w:rPr>
        <w:tab/>
        <w:t>Creating Visuals</w:t>
      </w:r>
    </w:p>
    <w:p w14:paraId="41418375" w14:textId="77777777" w:rsidR="009B722D" w:rsidRDefault="002423E8">
      <w:r>
        <w:t>After providing a data-source, you are all set to create visuals with Spotfire. The Web Client does not have</w:t>
      </w:r>
      <w:r>
        <w:t xml:space="preserve"> certain </w:t>
      </w:r>
      <w:proofErr w:type="spellStart"/>
      <w:r>
        <w:t>visualisation</w:t>
      </w:r>
      <w:proofErr w:type="spellEnd"/>
      <w:r>
        <w:t xml:space="preserve">, this includes unique properties of each visual. </w:t>
      </w:r>
    </w:p>
    <w:p w14:paraId="095D0303" w14:textId="77777777" w:rsidR="009B722D" w:rsidRDefault="009B722D"/>
    <w:p w14:paraId="504945F5" w14:textId="77777777" w:rsidR="009B722D" w:rsidRDefault="002423E8">
      <w:r>
        <w:t>To create your first visual, select either “Data in analysis” or “Visualization types”.</w:t>
      </w:r>
    </w:p>
    <w:p w14:paraId="260DA6DD" w14:textId="77777777" w:rsidR="009B722D" w:rsidRDefault="009B722D"/>
    <w:p w14:paraId="74C74479" w14:textId="77777777" w:rsidR="009B722D" w:rsidRDefault="002423E8">
      <w:pPr>
        <w:jc w:val="center"/>
      </w:pPr>
      <w:r>
        <w:rPr>
          <w:noProof/>
        </w:rPr>
        <w:drawing>
          <wp:inline distT="114300" distB="114300" distL="114300" distR="114300" wp14:anchorId="407AB583" wp14:editId="3E92462C">
            <wp:extent cx="2005013" cy="169846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005013" cy="1698461"/>
                    </a:xfrm>
                    <a:prstGeom prst="rect">
                      <a:avLst/>
                    </a:prstGeom>
                    <a:ln/>
                  </pic:spPr>
                </pic:pic>
              </a:graphicData>
            </a:graphic>
          </wp:inline>
        </w:drawing>
      </w:r>
    </w:p>
    <w:p w14:paraId="1B9ACE25" w14:textId="77777777" w:rsidR="009B722D" w:rsidRDefault="009B722D"/>
    <w:p w14:paraId="1CE32268" w14:textId="77777777" w:rsidR="009B722D" w:rsidRDefault="002423E8">
      <w:r>
        <w:t>With Spotfire, you are able to connect multiple data-sources into the same project. Once y</w:t>
      </w:r>
      <w:r>
        <w:t>ou have provided a connection, the data will be saved onto the TIBCO Cloud servers. This will enable the ability to modify the table data, and even create new tables with the existing tables. The application will then display all possible data from the sel</w:t>
      </w:r>
      <w:r>
        <w:t xml:space="preserve">ected data-source. </w:t>
      </w:r>
    </w:p>
    <w:p w14:paraId="50ABB5C3" w14:textId="77777777" w:rsidR="009B722D" w:rsidRDefault="009B722D"/>
    <w:p w14:paraId="6668ECB4" w14:textId="77777777" w:rsidR="009B722D" w:rsidRDefault="002423E8">
      <w:r>
        <w:rPr>
          <w:b/>
        </w:rPr>
        <w:t>Note:</w:t>
      </w:r>
      <w:r>
        <w:t xml:space="preserve"> As the application is identifying the data by itself, it is recommended to check the data-names against the actual data-source to ensure they are the same.</w:t>
      </w:r>
    </w:p>
    <w:p w14:paraId="5D97984C" w14:textId="77777777" w:rsidR="00CE3073" w:rsidRDefault="00CE3073">
      <w:pPr>
        <w:rPr>
          <w:b/>
          <w:sz w:val="28"/>
          <w:szCs w:val="28"/>
        </w:rPr>
      </w:pPr>
      <w:r>
        <w:rPr>
          <w:b/>
          <w:sz w:val="28"/>
          <w:szCs w:val="28"/>
        </w:rPr>
        <w:br w:type="page"/>
      </w:r>
    </w:p>
    <w:p w14:paraId="624DA0B0" w14:textId="18F08128" w:rsidR="009B722D" w:rsidRDefault="002423E8">
      <w:pPr>
        <w:rPr>
          <w:b/>
          <w:color w:val="FF0000"/>
        </w:rPr>
      </w:pPr>
      <w:r>
        <w:rPr>
          <w:b/>
          <w:sz w:val="28"/>
          <w:szCs w:val="28"/>
        </w:rPr>
        <w:lastRenderedPageBreak/>
        <w:t>4.3</w:t>
      </w:r>
      <w:r>
        <w:rPr>
          <w:b/>
          <w:sz w:val="28"/>
          <w:szCs w:val="28"/>
        </w:rPr>
        <w:tab/>
      </w:r>
      <w:proofErr w:type="spellStart"/>
      <w:r>
        <w:rPr>
          <w:b/>
          <w:sz w:val="28"/>
          <w:szCs w:val="28"/>
        </w:rPr>
        <w:t>Visualisation</w:t>
      </w:r>
      <w:proofErr w:type="spellEnd"/>
      <w:r>
        <w:rPr>
          <w:b/>
          <w:sz w:val="28"/>
          <w:szCs w:val="28"/>
        </w:rPr>
        <w:t xml:space="preserve"> Options</w:t>
      </w:r>
    </w:p>
    <w:p w14:paraId="571A5DF9" w14:textId="4DE11144" w:rsidR="009B722D" w:rsidRDefault="002423E8">
      <w:r>
        <w:t xml:space="preserve">Below will be a list of </w:t>
      </w:r>
      <w:proofErr w:type="spellStart"/>
      <w:r>
        <w:t>visualisations</w:t>
      </w:r>
      <w:proofErr w:type="spellEnd"/>
      <w:r>
        <w:t xml:space="preserve"> availabl</w:t>
      </w:r>
      <w:r>
        <w:t xml:space="preserve">e to use for the Web Client. Each visualization will be </w:t>
      </w:r>
      <w:r w:rsidR="00CE3073">
        <w:t>unique and</w:t>
      </w:r>
      <w:r>
        <w:t xml:space="preserve"> are used with different purposes. </w:t>
      </w:r>
      <w:r w:rsidR="00CE3073">
        <w:t>Here</w:t>
      </w:r>
      <w:r>
        <w:t xml:space="preserve"> is a list of current available visual options:</w:t>
      </w:r>
    </w:p>
    <w:p w14:paraId="2993F1B9" w14:textId="77777777" w:rsidR="009B722D" w:rsidRDefault="002423E8">
      <w:pPr>
        <w:jc w:val="center"/>
        <w:rPr>
          <w:sz w:val="24"/>
          <w:szCs w:val="24"/>
        </w:rPr>
      </w:pPr>
      <w:r>
        <w:rPr>
          <w:noProof/>
          <w:sz w:val="24"/>
          <w:szCs w:val="24"/>
        </w:rPr>
        <w:drawing>
          <wp:inline distT="114300" distB="114300" distL="114300" distR="114300" wp14:anchorId="0C9AC8D3" wp14:editId="2916FB07">
            <wp:extent cx="1595438" cy="460587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595438" cy="4605876"/>
                    </a:xfrm>
                    <a:prstGeom prst="rect">
                      <a:avLst/>
                    </a:prstGeom>
                    <a:ln/>
                  </pic:spPr>
                </pic:pic>
              </a:graphicData>
            </a:graphic>
          </wp:inline>
        </w:drawing>
      </w:r>
    </w:p>
    <w:p w14:paraId="2BAD1F00" w14:textId="77777777" w:rsidR="009B722D" w:rsidRDefault="009B722D">
      <w:pPr>
        <w:jc w:val="center"/>
        <w:rPr>
          <w:sz w:val="24"/>
          <w:szCs w:val="24"/>
        </w:rPr>
      </w:pPr>
    </w:p>
    <w:p w14:paraId="2B8AFFD8" w14:textId="77777777" w:rsidR="009B722D" w:rsidRDefault="002423E8">
      <w:r>
        <w:t>From here, it is best to explore each visualization on your own time as it requi</w:t>
      </w:r>
      <w:r>
        <w:t xml:space="preserve">res practice to understand how to use them. To modify a </w:t>
      </w:r>
      <w:proofErr w:type="spellStart"/>
      <w:r>
        <w:t>visualisation</w:t>
      </w:r>
      <w:proofErr w:type="spellEnd"/>
      <w:r>
        <w:t xml:space="preserve">, hover your cursor over a visual and right click to select the properties option. When in doubt, do refer to the official documentation guide </w:t>
      </w:r>
      <w:hyperlink r:id="rId14">
        <w:r>
          <w:rPr>
            <w:color w:val="1155CC"/>
            <w:u w:val="single"/>
          </w:rPr>
          <w:t>here</w:t>
        </w:r>
      </w:hyperlink>
      <w:r>
        <w:t>.</w:t>
      </w:r>
    </w:p>
    <w:p w14:paraId="0E85C7D4" w14:textId="77777777" w:rsidR="009B722D" w:rsidRDefault="009B722D"/>
    <w:p w14:paraId="3D4FD8FF" w14:textId="77777777" w:rsidR="009B722D" w:rsidRDefault="002423E8">
      <w:r>
        <w:rPr>
          <w:b/>
        </w:rPr>
        <w:t>Note:</w:t>
      </w:r>
      <w:r>
        <w:t xml:space="preserve"> Remember to save your work at “File &gt; Save”. Do not </w:t>
      </w:r>
      <w:proofErr w:type="spellStart"/>
      <w:r>
        <w:t>Ctrl+S</w:t>
      </w:r>
      <w:proofErr w:type="spellEnd"/>
      <w:r>
        <w:t xml:space="preserve">. Similar with “Undo/ Forward”. Reopening a project requires you to change from “Viewing” to “Editing”. </w:t>
      </w:r>
    </w:p>
    <w:p w14:paraId="3B448554" w14:textId="77777777" w:rsidR="009B722D" w:rsidRDefault="009B722D"/>
    <w:p w14:paraId="4EBBC76C" w14:textId="5BE9650C" w:rsidR="009B722D" w:rsidRDefault="002423E8">
      <w:r>
        <w:t xml:space="preserve">For a more </w:t>
      </w:r>
      <w:r w:rsidR="00CE3073">
        <w:t>in-depth</w:t>
      </w:r>
      <w:r>
        <w:t xml:space="preserve"> </w:t>
      </w:r>
      <w:bookmarkStart w:id="0" w:name="_GoBack"/>
      <w:bookmarkEnd w:id="0"/>
      <w:r>
        <w:t>research on the capabilitie</w:t>
      </w:r>
      <w:r>
        <w:t>s, you may refer to my “TIBCO Spotfire Desktop Application Documentation”. Although most content will only be available in the Desktop App, the concepts are fairly similar to the Web Client version.</w:t>
      </w:r>
    </w:p>
    <w:sectPr w:rsidR="009B722D">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3B158" w14:textId="77777777" w:rsidR="002423E8" w:rsidRDefault="002423E8">
      <w:pPr>
        <w:spacing w:line="240" w:lineRule="auto"/>
      </w:pPr>
      <w:r>
        <w:separator/>
      </w:r>
    </w:p>
  </w:endnote>
  <w:endnote w:type="continuationSeparator" w:id="0">
    <w:p w14:paraId="1B27053E" w14:textId="77777777" w:rsidR="002423E8" w:rsidRDefault="00242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7EED" w14:textId="77777777" w:rsidR="009B722D" w:rsidRDefault="002423E8">
    <w:r>
      <w:tab/>
    </w:r>
    <w:r>
      <w:tab/>
    </w:r>
    <w:r>
      <w:tab/>
    </w:r>
    <w:r>
      <w:tab/>
    </w:r>
    <w:r>
      <w:tab/>
    </w:r>
    <w:r>
      <w:tab/>
    </w:r>
    <w:r>
      <w:tab/>
    </w:r>
    <w:r>
      <w:tab/>
    </w:r>
    <w:r>
      <w:tab/>
    </w:r>
    <w:r>
      <w:tab/>
    </w:r>
    <w:r>
      <w:tab/>
    </w:r>
    <w:r>
      <w:tab/>
    </w:r>
    <w:r>
      <w:fldChar w:fldCharType="begin"/>
    </w:r>
    <w:r>
      <w:instrText>PAGE</w:instrText>
    </w:r>
    <w:r w:rsidR="00CE3073">
      <w:fldChar w:fldCharType="separate"/>
    </w:r>
    <w:r w:rsidR="00CE307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17FCD" w14:textId="77777777" w:rsidR="009B722D" w:rsidRDefault="009B72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75D1C" w14:textId="77777777" w:rsidR="002423E8" w:rsidRDefault="002423E8">
      <w:pPr>
        <w:spacing w:line="240" w:lineRule="auto"/>
      </w:pPr>
      <w:r>
        <w:separator/>
      </w:r>
    </w:p>
  </w:footnote>
  <w:footnote w:type="continuationSeparator" w:id="0">
    <w:p w14:paraId="5EBCD892" w14:textId="77777777" w:rsidR="002423E8" w:rsidRDefault="002423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6591"/>
    <w:multiLevelType w:val="multilevel"/>
    <w:tmpl w:val="51626B2A"/>
    <w:lvl w:ilvl="0">
      <w:start w:val="1"/>
      <w:numFmt w:val="decimal"/>
      <w:lvlText w:val="%1."/>
      <w:lvlJc w:val="left"/>
      <w:pPr>
        <w:ind w:left="720" w:hanging="360"/>
      </w:pPr>
      <w:rPr>
        <w:sz w:val="28"/>
        <w:szCs w:val="28"/>
        <w:u w:val="none"/>
      </w:rPr>
    </w:lvl>
    <w:lvl w:ilvl="1">
      <w:start w:val="1"/>
      <w:numFmt w:val="decimal"/>
      <w:lvlText w:val="%2"/>
      <w:lvlJc w:val="left"/>
      <w:pPr>
        <w:ind w:left="1440" w:hanging="360"/>
      </w:pPr>
      <w:rPr>
        <w:sz w:val="22"/>
        <w:szCs w:val="22"/>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22D"/>
    <w:rsid w:val="002423E8"/>
    <w:rsid w:val="009B722D"/>
    <w:rsid w:val="00CE30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C015"/>
  <w15:docId w15:val="{79BE0552-D08A-42CD-9D69-0D8FF0E3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tibco.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ocs.spotfire.cloud.tibco.com/spotfire/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spotfire.cloud.tibco.com/spotfi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WEI JUN, TERRIS</cp:lastModifiedBy>
  <cp:revision>2</cp:revision>
  <dcterms:created xsi:type="dcterms:W3CDTF">2019-08-15T06:40:00Z</dcterms:created>
  <dcterms:modified xsi:type="dcterms:W3CDTF">2019-08-15T06:42:00Z</dcterms:modified>
</cp:coreProperties>
</file>