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563EB"/>
          <w:sz w:val="64"/>
          <w:szCs w:val="64"/>
        </w:rPr>
        <w:t xml:space="preserve">Tafatafa AI</w:t>
      </w:r>
    </w:p>
    <w:p>
      <w:pPr>
        <w:spacing w:after="800" w:before="200"/>
        <w:jc w:val="center"/>
      </w:pPr>
      <w:r>
        <w:rPr>
          <w:color w:val="6B7280"/>
          <w:sz w:val="32"/>
          <w:szCs w:val="32"/>
        </w:rPr>
        <w:t xml:space="preserve">Système RAG local — Documentation complète du projet</w:t>
      </w:r>
    </w:p>
    <w:p>
      <w:pPr>
        <w:spacing w:before="200"/>
        <w:jc w:val="center"/>
      </w:pPr>
      <w:r>
        <w:rPr>
          <w:i/>
          <w:iCs/>
          <w:sz w:val="24"/>
          <w:szCs w:val="24"/>
        </w:rPr>
        <w:t xml:space="preserve">Clone simplifié de NotebookLM</w:t>
      </w:r>
    </w:p>
    <w:p>
      <w:pPr>
        <w:spacing w:before="1600"/>
        <w:jc w:val="center"/>
      </w:pPr>
      <w:r>
        <w:rPr>
          <w:color w:val="6B7280"/>
          <w:sz w:val="22"/>
          <w:szCs w:val="22"/>
        </w:rPr>
        <w:t xml:space="preserve">Streamlit · LangChain · ChromaDB · Ollama · HuggingFace Embeddings</w:t>
      </w:r>
    </w:p>
    <w:p>
      <w:pPr>
        <w:spacing w:before="1600"/>
        <w:jc w:val="center"/>
      </w:pPr>
      <w:r>
        <w:rPr>
          <w:sz w:val="22"/>
          <w:szCs w:val="22"/>
        </w:rPr>
        <w:t xml:space="preserve">Auteur : Herilala</w:t>
      </w:r>
    </w:p>
    <w:p>
      <w:pPr>
        <w:spacing w:before="100"/>
        <w:jc w:val="center"/>
      </w:pPr>
      <w:r>
        <w:rPr>
          <w:sz w:val="22"/>
          <w:szCs w:val="22"/>
        </w:rPr>
        <w:t xml:space="preserve">Master 1 MIAGE — TP ERP / Systèmes d'information</w:t>
      </w:r>
    </w:p>
    <w:p>
      <w:pPr>
        <w:spacing w:before="100"/>
        <w:jc w:val="center"/>
      </w:pPr>
      <w:r>
        <w:rPr>
          <w:color w:val="6B7280"/>
          <w:sz w:val="22"/>
          <w:szCs w:val="22"/>
        </w:rPr>
        <w:t xml:space="preserve">Année universitaire 2025-2026</w:t>
      </w:r>
    </w:p>
    <w:p>
      <w:r>
        <w:br w:type="page"/>
      </w:r>
    </w:p>
    <w:p>
      <w:pPr>
        <w:pStyle w:val="Heading1"/>
        <w:spacing w:after="200" w:before="36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 et contexte</w:t>
      </w:r>
    </w:p>
    <w:p>
      <w:pPr>
        <w:spacing w:after="160"/>
      </w:pPr>
      <w:r>
        <w:t xml:space="preserve">Tafatafa AI est une application de type RAG (Retrieval-Augmented Generation) entièrement locale, développée dans le cadre d'un TP de Master 1 MIAGE portant sur les systèmes ERP et l'ingénierie des systèmes d'information. Le projet consiste à reproduire, de façon simplifiée, les fonctionnalités centrales d'un outil comme NotebookLM : permettre à un utilisateur d'importer des documents, de les interroger en langage naturel, et d'obtenir des réponses fiables et traçables, sans dépendre d'un service cloud externe.</w:t>
      </w:r>
    </w:p>
    <w:p>
      <w:pPr>
        <w:spacing w:after="160"/>
      </w:pPr>
      <w:r>
        <w:t xml:space="preserve">L'ensemble du système — lecture de documents, indexation vectorielle, recherche sémantique et génération de réponses — fonctionne intégralement en local : aucune donnée ni aucun document n'est envoyé à un tiers. Cette contrainte a orienté plusieurs choix techniques présentés dans ce document (modèle d'embeddings léger, LLM local via Ollama, base vectorielle embarquée).</w:t>
      </w:r>
    </w:p>
    <w:p>
      <w:pPr>
        <w:pStyle w:val="Heading2"/>
        <w:spacing w:after="160" w:before="280"/>
      </w:pPr>
      <w:r>
        <w:t xml:space="preserve">1.1 Objectifs pédagogiques</w:t>
      </w:r>
    </w:p>
    <w:p>
      <w:pPr>
        <w:pStyle w:val="ListParagraph"/>
        <w:numPr>
          <w:ilvl w:val="0"/>
          <w:numId w:val="1"/>
        </w:numPr>
        <w:spacing w:after="80"/>
      </w:pPr>
      <w:r>
        <w:t xml:space="preserve">Comprendre le fonctionnement d'un pipeline RAG de bout en bout (extraction, découpage, vectorisation, recherche, génération).</w:t>
      </w:r>
    </w:p>
    <w:p>
      <w:pPr>
        <w:pStyle w:val="ListParagraph"/>
        <w:numPr>
          <w:ilvl w:val="0"/>
          <w:numId w:val="1"/>
        </w:numPr>
        <w:spacing w:after="80"/>
      </w:pPr>
      <w:r>
        <w:t xml:space="preserve">Manipuler les briques LangChain (loaders, text splitters, embeddings, vector stores, prompt templates).</w:t>
      </w:r>
    </w:p>
    <w:p>
      <w:pPr>
        <w:pStyle w:val="ListParagraph"/>
        <w:numPr>
          <w:ilvl w:val="0"/>
          <w:numId w:val="1"/>
        </w:numPr>
        <w:spacing w:after="80"/>
      </w:pPr>
      <w:r>
        <w:t xml:space="preserve">Mettre en œuvre un modèle de langage local via Ollama, en comprenant les enjeux de confidentialité et de coût par rapport à une API cloud.</w:t>
      </w:r>
    </w:p>
    <w:p>
      <w:pPr>
        <w:pStyle w:val="ListParagraph"/>
        <w:numPr>
          <w:ilvl w:val="0"/>
          <w:numId w:val="1"/>
        </w:numPr>
        <w:spacing w:after="80"/>
      </w:pPr>
      <w:r>
        <w:t xml:space="preserve">Construire une interface utilisateur fonctionnelle avec Streamlit, incluant une gestion d'état (session) et une persistance des données.</w:t>
      </w:r>
    </w:p>
    <w:p>
      <w:pPr>
        <w:pStyle w:val="Heading2"/>
        <w:spacing w:after="160" w:before="280"/>
      </w:pPr>
      <w:r>
        <w:t xml:space="preserve">1.2 Portée du projet</w:t>
      </w:r>
    </w:p>
    <w:p>
      <w:pPr>
        <w:spacing w:after="160"/>
      </w:pPr>
      <w:r>
        <w:t xml:space="preserve">Le développement a suivi une feuille de route en 11 étapes, de l'initialisation de l'interface jusqu'au nettoyage final du code. Au-delà du sujet initial du TP, plusieurs fonctionnalités ont été ajoutées pour enrichir l'outil : un mode de conversation libre sans document, un système de discussions multiples persistantes, ainsi qu'un travail de mise en forme visuelle de l'interface.</w:t>
      </w:r>
    </w:p>
    <w:p>
      <w:pPr>
        <w:pStyle w:val="Heading1"/>
        <w:spacing w:after="200" w:before="360"/>
      </w:pPr>
      <w:r>
        <w:t xml:space="preserve">2. Fonctionnalités</w:t>
      </w:r>
    </w:p>
    <w:p>
      <w:pPr>
        <w:pStyle w:val="Heading2"/>
        <w:spacing w:after="160" w:before="280"/>
      </w:pPr>
      <w:r>
        <w:t xml:space="preserve">2.1 Indexation de documents</w:t>
      </w:r>
    </w:p>
    <w:p>
      <w:pPr>
        <w:spacing w:after="160"/>
      </w:pPr>
      <w:r>
        <w:t xml:space="preserve">L'utilisateur peut importer un ou plusieurs fichiers aux formats PDF, TXT ou Markdown depuis la barre latérale. Chaque fichier est lu, découpé en fragments (chunks), transformé en vecteurs numériques (embeddings), puis indexé dans une base vectorielle locale (ChromaDB).</w:t>
      </w:r>
    </w:p>
    <w:p>
      <w:pPr>
        <w:pStyle w:val="Heading2"/>
        <w:spacing w:after="160" w:before="280"/>
      </w:pPr>
      <w:r>
        <w:t xml:space="preserve">2.2 Mode recherche sémantique</w:t>
      </w:r>
    </w:p>
    <w:p>
      <w:pPr>
        <w:spacing w:after="160"/>
      </w:pPr>
      <w:r>
        <w:t xml:space="preserve">Lorsque le LLM est désactivé, poser une question déclenche une recherche par similarité dans la base vectorielle. L'application affiche directement les passages les plus proches de la question, avec leur score de similarité, leur document source et leur numéro de page — sans aucune génération de texte par un modèle de langage.</w:t>
      </w:r>
    </w:p>
    <w:p>
      <w:pPr>
        <w:pStyle w:val="Heading2"/>
        <w:spacing w:after="160" w:before="280"/>
      </w:pPr>
      <w:r>
        <w:t xml:space="preserve">2.3 Mode RAG (Retrieval-Augmented Generation)</w:t>
      </w:r>
    </w:p>
    <w:p>
      <w:pPr>
        <w:spacing w:after="160"/>
      </w:pPr>
      <w:r>
        <w:t xml:space="preserve">Lorsque le LLM est activé et qu'au moins un document est indexé, le pipeline complet est exécuté : recherche des passages pertinents, construction d'un prompt structuré intégrant ce contexte, puis génération d'une réponse par le modèle de langage local (qwen2.5-coder:3b via Ollama). Le prompt système contraint strictement le modèle à ne répondre qu'à partir du contexte fourni, afin de limiter les hallucinations.</w:t>
      </w:r>
    </w:p>
    <w:p>
      <w:pPr>
        <w:pStyle w:val="Heading2"/>
        <w:spacing w:after="160" w:before="280"/>
      </w:pPr>
      <w:r>
        <w:t xml:space="preserve">2.4 Mode chat libre</w:t>
      </w:r>
    </w:p>
    <w:p>
      <w:pPr>
        <w:spacing w:after="160"/>
      </w:pPr>
      <w:r>
        <w:t xml:space="preserve">Si aucun document n'est indexé mais que le LLM est activé, l'utilisateur peut discuter directement avec le modèle local, sans recherche documentaire ni contrainte de contexte — un mode conversationnel classique.</w:t>
      </w:r>
    </w:p>
    <w:p>
      <w:pPr>
        <w:pStyle w:val="Heading2"/>
        <w:spacing w:after="160" w:before="280"/>
      </w:pPr>
      <w:r>
        <w:t xml:space="preserve">2.5 Transparence des sources</w:t>
      </w:r>
    </w:p>
    <w:p>
      <w:pPr>
        <w:spacing w:after="160"/>
      </w:pPr>
      <w:r>
        <w:t xml:space="preserve">Sous chaque réponse générée en mode RAG, un panneau dépliant (« Sources utilisées ») affiche les extraits de documents ayant servi de contexte, avec leur origine et leur score de pertinence, permettant à l'utilisateur de vérifier la fiabilité de la réponse.</w:t>
      </w:r>
    </w:p>
    <w:p>
      <w:pPr>
        <w:pStyle w:val="Heading2"/>
        <w:spacing w:after="160" w:before="280"/>
      </w:pPr>
      <w:r>
        <w:t xml:space="preserve">2.6 Gestion de discussions multiples</w:t>
      </w:r>
    </w:p>
    <w:p>
      <w:pPr>
        <w:spacing w:after="160"/>
      </w:pPr>
      <w:r>
        <w:t xml:space="preserve">L'application permet de créer de nouvelles discussions, de naviguer entre plusieurs conversations sauvegardées, et de les supprimer. L'historique est persistant : il est conservé sur disque (fichier chats.json) et retrouvé automatiquement au redémarrage de l'application.</w:t>
      </w:r>
    </w:p>
    <w:p>
      <w:pPr>
        <w:pStyle w:val="Heading1"/>
        <w:spacing w:after="200" w:before="360"/>
      </w:pPr>
      <w:r>
        <w:t xml:space="preserve">3. Architecture technique</w:t>
      </w:r>
    </w:p>
    <w:p>
      <w:pPr>
        <w:pStyle w:val="Heading2"/>
        <w:spacing w:after="160" w:before="280"/>
      </w:pPr>
      <w:r>
        <w:t xml:space="preserve">3.1 Vue d'ensemble du pipeline RAG</w:t>
      </w:r>
    </w:p>
    <w:p>
      <w:pPr>
        <w:spacing w:after="160"/>
      </w:pPr>
      <w:r>
        <w:t xml:space="preserve">Le schéma ci-dessous résume le flux de traitement, de l'import d'un document jusqu'à la génération d'une réponse contextualisée.</w:t>
      </w:r>
    </w:p>
    <w:p>
      <w:pPr>
        <w:pBdr>
          <w:top w:val="single" w:color="D1D5DB" w:sz="2"/>
          <w:bottom w:val="single" w:color="D1D5DB" w:sz="2"/>
          <w:left w:val="single" w:color="D1D5DB" w:sz="2"/>
          <w:right w:val="single" w:color="D1D5DB" w:sz="2"/>
        </w:pBdr>
        <w:shd w:fill="F3F4F6" w:val="clear"/>
        <w:spacing w:after="160"/>
      </w:pPr>
      <w:r>
        <w:rPr>
          <w:rFonts w:ascii="Consolas" w:cs="Consolas" w:eastAsia="Consolas" w:hAnsi="Consolas"/>
          <w:sz w:val="18"/>
          <w:szCs w:val="18"/>
        </w:rPr>
        <w:t xml:space="preserve">Documents (PDF / TXT / MD)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load_documents()          -&gt; lecture et normalisation des métadonnées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Documents LangChain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split_documents()         -&gt; RecursiveCharacterTextSplitter (700 / 100)</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Chunks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create_vector_store()     -&gt; embeddings HuggingFace (all-MiniLM-L6-v2)</w:t>
      </w:r>
      <w:r>
        <w:rPr>
          <w:rFonts w:ascii="Consolas" w:cs="Consolas" w:eastAsia="Consolas" w:hAnsi="Consolas"/>
          <w:sz w:val="18"/>
          <w:szCs w:val="18"/>
        </w:rPr>
        <w:br/>
        <w:t xml:space="preserve">        |                       + indexation dans ChromaDB</w:t>
      </w:r>
      <w:r>
        <w:rPr>
          <w:rFonts w:ascii="Consolas" w:cs="Consolas" w:eastAsia="Consolas" w:hAnsi="Consolas"/>
          <w:sz w:val="18"/>
          <w:szCs w:val="18"/>
        </w:rPr>
        <w:br/>
        <w:t xml:space="preserve">        v</w:t>
      </w:r>
      <w:r>
        <w:rPr>
          <w:rFonts w:ascii="Consolas" w:cs="Consolas" w:eastAsia="Consolas" w:hAnsi="Consolas"/>
          <w:sz w:val="18"/>
          <w:szCs w:val="18"/>
        </w:rPr>
        <w:br/>
        <w:t xml:space="preserve">  Base vectorielle (chroma_db/)</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similarity_search_with_score()  -&gt; recherche des chunks pertinents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format_context() + build_rag_prompt()  -&gt; construction du prompt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get_llm() -&gt; ChatOllama (qwen2.5-coder:3b)</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Réponse générée + sources affichées</w:t>
      </w:r>
    </w:p>
    <w:p>
      <w:pPr>
        <w:pStyle w:val="Heading2"/>
        <w:spacing w:after="160" w:before="280"/>
      </w:pPr>
      <w:r>
        <w:t xml:space="preserve">3.2 Les deux dimensions de fonctionnement</w:t>
      </w:r>
    </w:p>
    <w:p>
      <w:pPr>
        <w:spacing w:after="160"/>
      </w:pPr>
      <w:r>
        <w:t xml:space="preserve">Le comportement de l'application au moment de poser une question dépend de deux variables indépendantes : la présence ou non d'une base vectorielle en session, et l'état du bouton bascule « Activer le LLM ». Ces deux dimensions déterminent l'un des quatre modes suivants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0"/>
      </w:tblGrid>
      <w:tr>
        <w:trPr>
          <w:tblHeader/>
        </w:trPr>
        <w:tc>
          <w:tcPr>
            <w:tcW w:type="dxa" w:w="2600"/>
            <w:shd w:fill="2563EB" w:val="clear"/>
            <w:tcMar>
              <w:top w:type="dxa" w:w="100"/>
              <w:left w:type="dxa" w:w="120"/>
              <w:bottom w:type="dxa" w:w="100"/>
              <w:right w:type="dxa" w:w="120"/>
            </w:tcMar>
          </w:tcPr>
          <w:p>
            <w:r>
              <w:rPr>
                <w:b/>
                <w:bCs/>
                <w:color w:val="FFFFFF"/>
                <w:sz w:val="20"/>
                <w:szCs w:val="20"/>
              </w:rPr>
              <w:t xml:space="preserve">Document indexé</w:t>
            </w:r>
          </w:p>
        </w:tc>
        <w:tc>
          <w:tcPr>
            <w:tcW w:type="dxa" w:w="2200"/>
            <w:shd w:fill="2563EB" w:val="clear"/>
            <w:tcMar>
              <w:top w:type="dxa" w:w="100"/>
              <w:left w:type="dxa" w:w="120"/>
              <w:bottom w:type="dxa" w:w="100"/>
              <w:right w:type="dxa" w:w="120"/>
            </w:tcMar>
          </w:tcPr>
          <w:p>
            <w:r>
              <w:rPr>
                <w:b/>
                <w:bCs/>
                <w:color w:val="FFFFFF"/>
                <w:sz w:val="20"/>
                <w:szCs w:val="20"/>
              </w:rPr>
              <w:t xml:space="preserve">LLM activé</w:t>
            </w:r>
          </w:p>
        </w:tc>
        <w:tc>
          <w:tcPr>
            <w:tcW w:type="dxa" w:w="4700"/>
            <w:shd w:fill="2563EB" w:val="clear"/>
            <w:tcMar>
              <w:top w:type="dxa" w:w="100"/>
              <w:left w:type="dxa" w:w="120"/>
              <w:bottom w:type="dxa" w:w="100"/>
              <w:right w:type="dxa" w:w="120"/>
            </w:tcMar>
          </w:tcPr>
          <w:p>
            <w:r>
              <w:rPr>
                <w:b/>
                <w:bCs/>
                <w:color w:val="FFFFFF"/>
                <w:sz w:val="20"/>
                <w:szCs w:val="20"/>
              </w:rPr>
              <w:t xml:space="preserve">Comportement</w:t>
            </w:r>
          </w:p>
        </w:tc>
      </w:tr>
      <w:tr>
        <w:tc>
          <w:tcPr>
            <w:tcW w:type="dxa" w:w="2600"/>
            <w:tcMar>
              <w:top w:type="dxa" w:w="100"/>
              <w:left w:type="dxa" w:w="120"/>
              <w:bottom w:type="dxa" w:w="100"/>
              <w:right w:type="dxa" w:w="120"/>
            </w:tcMar>
          </w:tcPr>
          <w:p>
            <w:r>
              <w:rPr>
                <w:b w:val="false"/>
                <w:bCs w:val="false"/>
                <w:sz w:val="20"/>
                <w:szCs w:val="20"/>
              </w:rPr>
              <w:t xml:space="preserve">Non</w:t>
            </w:r>
          </w:p>
        </w:tc>
        <w:tc>
          <w:tcPr>
            <w:tcW w:type="dxa" w:w="2200"/>
            <w:tcMar>
              <w:top w:type="dxa" w:w="100"/>
              <w:left w:type="dxa" w:w="120"/>
              <w:bottom w:type="dxa" w:w="100"/>
              <w:right w:type="dxa" w:w="120"/>
            </w:tcMar>
          </w:tcPr>
          <w:p>
            <w:r>
              <w:rPr>
                <w:b w:val="false"/>
                <w:bCs w:val="false"/>
                <w:sz w:val="20"/>
                <w:szCs w:val="20"/>
              </w:rPr>
              <w:t xml:space="preserve">Non</w:t>
            </w:r>
          </w:p>
        </w:tc>
        <w:tc>
          <w:tcPr>
            <w:tcW w:type="dxa" w:w="4700"/>
            <w:tcMar>
              <w:top w:type="dxa" w:w="100"/>
              <w:left w:type="dxa" w:w="120"/>
              <w:bottom w:type="dxa" w:w="100"/>
              <w:right w:type="dxa" w:w="120"/>
            </w:tcMar>
          </w:tcPr>
          <w:p>
            <w:r>
              <w:rPr>
                <w:b w:val="false"/>
                <w:bCs w:val="false"/>
                <w:sz w:val="20"/>
                <w:szCs w:val="20"/>
              </w:rPr>
              <w:t xml:space="preserve">Message invitant à indexer un document ou activer le LLM</w:t>
            </w:r>
          </w:p>
        </w:tc>
      </w:tr>
      <w:tr>
        <w:tc>
          <w:tcPr>
            <w:tcW w:type="dxa" w:w="2600"/>
            <w:shd w:fill="F3F4F6" w:val="clear"/>
            <w:tcMar>
              <w:top w:type="dxa" w:w="100"/>
              <w:left w:type="dxa" w:w="120"/>
              <w:bottom w:type="dxa" w:w="100"/>
              <w:right w:type="dxa" w:w="120"/>
            </w:tcMar>
          </w:tcPr>
          <w:p>
            <w:r>
              <w:rPr>
                <w:b w:val="false"/>
                <w:bCs w:val="false"/>
                <w:sz w:val="20"/>
                <w:szCs w:val="20"/>
              </w:rPr>
              <w:t xml:space="preserve">Non</w:t>
            </w:r>
          </w:p>
        </w:tc>
        <w:tc>
          <w:tcPr>
            <w:tcW w:type="dxa" w:w="2200"/>
            <w:shd w:fill="F3F4F6" w:val="clear"/>
            <w:tcMar>
              <w:top w:type="dxa" w:w="100"/>
              <w:left w:type="dxa" w:w="120"/>
              <w:bottom w:type="dxa" w:w="100"/>
              <w:right w:type="dxa" w:w="120"/>
            </w:tcMar>
          </w:tcPr>
          <w:p>
            <w:r>
              <w:rPr>
                <w:b w:val="false"/>
                <w:bCs w:val="false"/>
                <w:sz w:val="20"/>
                <w:szCs w:val="20"/>
              </w:rPr>
              <w:t xml:space="preserve">Oui</w:t>
            </w:r>
          </w:p>
        </w:tc>
        <w:tc>
          <w:tcPr>
            <w:tcW w:type="dxa" w:w="4700"/>
            <w:shd w:fill="F3F4F6" w:val="clear"/>
            <w:tcMar>
              <w:top w:type="dxa" w:w="100"/>
              <w:left w:type="dxa" w:w="120"/>
              <w:bottom w:type="dxa" w:w="100"/>
              <w:right w:type="dxa" w:w="120"/>
            </w:tcMar>
          </w:tcPr>
          <w:p>
            <w:r>
              <w:rPr>
                <w:b w:val="false"/>
                <w:bCs w:val="false"/>
                <w:sz w:val="20"/>
                <w:szCs w:val="20"/>
              </w:rPr>
              <w:t xml:space="preserve">Chat libre : appel direct au LLM, sans recherche documentaire</w:t>
            </w:r>
          </w:p>
        </w:tc>
      </w:tr>
      <w:tr>
        <w:tc>
          <w:tcPr>
            <w:tcW w:type="dxa" w:w="2600"/>
            <w:tcMar>
              <w:top w:type="dxa" w:w="100"/>
              <w:left w:type="dxa" w:w="120"/>
              <w:bottom w:type="dxa" w:w="100"/>
              <w:right w:type="dxa" w:w="120"/>
            </w:tcMar>
          </w:tcPr>
          <w:p>
            <w:r>
              <w:rPr>
                <w:b w:val="false"/>
                <w:bCs w:val="false"/>
                <w:sz w:val="20"/>
                <w:szCs w:val="20"/>
              </w:rPr>
              <w:t xml:space="preserve">Oui</w:t>
            </w:r>
          </w:p>
        </w:tc>
        <w:tc>
          <w:tcPr>
            <w:tcW w:type="dxa" w:w="2200"/>
            <w:tcMar>
              <w:top w:type="dxa" w:w="100"/>
              <w:left w:type="dxa" w:w="120"/>
              <w:bottom w:type="dxa" w:w="100"/>
              <w:right w:type="dxa" w:w="120"/>
            </w:tcMar>
          </w:tcPr>
          <w:p>
            <w:r>
              <w:rPr>
                <w:b w:val="false"/>
                <w:bCs w:val="false"/>
                <w:sz w:val="20"/>
                <w:szCs w:val="20"/>
              </w:rPr>
              <w:t xml:space="preserve">Non</w:t>
            </w:r>
          </w:p>
        </w:tc>
        <w:tc>
          <w:tcPr>
            <w:tcW w:type="dxa" w:w="4700"/>
            <w:tcMar>
              <w:top w:type="dxa" w:w="100"/>
              <w:left w:type="dxa" w:w="120"/>
              <w:bottom w:type="dxa" w:w="100"/>
              <w:right w:type="dxa" w:w="120"/>
            </w:tcMar>
          </w:tcPr>
          <w:p>
            <w:r>
              <w:rPr>
                <w:b w:val="false"/>
                <w:bCs w:val="false"/>
                <w:sz w:val="20"/>
                <w:szCs w:val="20"/>
              </w:rPr>
              <w:t xml:space="preserve">Recherche sémantique : chunks les plus proches affichés, sans génération</w:t>
            </w:r>
          </w:p>
        </w:tc>
      </w:tr>
      <w:tr>
        <w:tc>
          <w:tcPr>
            <w:tcW w:type="dxa" w:w="2600"/>
            <w:shd w:fill="F3F4F6" w:val="clear"/>
            <w:tcMar>
              <w:top w:type="dxa" w:w="100"/>
              <w:left w:type="dxa" w:w="120"/>
              <w:bottom w:type="dxa" w:w="100"/>
              <w:right w:type="dxa" w:w="120"/>
            </w:tcMar>
          </w:tcPr>
          <w:p>
            <w:r>
              <w:rPr>
                <w:b w:val="false"/>
                <w:bCs w:val="false"/>
                <w:sz w:val="20"/>
                <w:szCs w:val="20"/>
              </w:rPr>
              <w:t xml:space="preserve">Oui</w:t>
            </w:r>
          </w:p>
        </w:tc>
        <w:tc>
          <w:tcPr>
            <w:tcW w:type="dxa" w:w="2200"/>
            <w:shd w:fill="F3F4F6" w:val="clear"/>
            <w:tcMar>
              <w:top w:type="dxa" w:w="100"/>
              <w:left w:type="dxa" w:w="120"/>
              <w:bottom w:type="dxa" w:w="100"/>
              <w:right w:type="dxa" w:w="120"/>
            </w:tcMar>
          </w:tcPr>
          <w:p>
            <w:r>
              <w:rPr>
                <w:b w:val="false"/>
                <w:bCs w:val="false"/>
                <w:sz w:val="20"/>
                <w:szCs w:val="20"/>
              </w:rPr>
              <w:t xml:space="preserve">Oui</w:t>
            </w:r>
          </w:p>
        </w:tc>
        <w:tc>
          <w:tcPr>
            <w:tcW w:type="dxa" w:w="4700"/>
            <w:shd w:fill="F3F4F6" w:val="clear"/>
            <w:tcMar>
              <w:top w:type="dxa" w:w="100"/>
              <w:left w:type="dxa" w:w="120"/>
              <w:bottom w:type="dxa" w:w="100"/>
              <w:right w:type="dxa" w:w="120"/>
            </w:tcMar>
          </w:tcPr>
          <w:p>
            <w:r>
              <w:rPr>
                <w:b w:val="false"/>
                <w:bCs w:val="false"/>
                <w:sz w:val="20"/>
                <w:szCs w:val="20"/>
              </w:rPr>
              <w:t xml:space="preserve">Mode RAG complet : recherche puis génération contextualisée</w:t>
            </w:r>
          </w:p>
        </w:tc>
      </w:tr>
    </w:tbl>
    <w:p>
      <w:r>
        <w:br w:type="page"/>
      </w:r>
    </w:p>
    <w:p>
      <w:pPr>
        <w:pStyle w:val="Heading1"/>
        <w:spacing w:after="200" w:before="360"/>
      </w:pPr>
      <w:r>
        <w:t xml:space="preserve">4. Structure du code</w:t>
      </w:r>
    </w:p>
    <w:p>
      <w:pPr>
        <w:spacing w:after="160"/>
      </w:pPr>
      <w:r>
        <w:t xml:space="preserve">L'ensemble de l'application est regroupé dans un seul fichier app.py, conformément aux exigences du sujet. Les fonctions sont organisées par responsabilité : persistance des discussions, pipeline RAG, traitement des documents, puis l'interface Streamlit elle-même.</w:t>
      </w:r>
    </w:p>
    <w:p>
      <w:pPr>
        <w:pStyle w:val="Heading2"/>
        <w:spacing w:after="160" w:before="280"/>
      </w:pPr>
      <w:r>
        <w:t xml:space="preserve">4.1 Persistance des discussions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2563EB" w:val="clear"/>
            <w:tcMar>
              <w:top w:type="dxa" w:w="100"/>
              <w:left w:type="dxa" w:w="120"/>
              <w:bottom w:type="dxa" w:w="100"/>
              <w:right w:type="dxa" w:w="120"/>
            </w:tcMar>
          </w:tcPr>
          <w:p>
            <w:r>
              <w:rPr>
                <w:b/>
                <w:bCs/>
                <w:color w:val="FFFFFF"/>
                <w:sz w:val="20"/>
                <w:szCs w:val="20"/>
              </w:rPr>
              <w:t xml:space="preserve">Fonction</w:t>
            </w:r>
          </w:p>
        </w:tc>
        <w:tc>
          <w:tcPr>
            <w:tcW w:type="dxa" w:w="6200"/>
            <w:shd w:fill="2563EB" w:val="clear"/>
            <w:tcMar>
              <w:top w:type="dxa" w:w="100"/>
              <w:left w:type="dxa" w:w="120"/>
              <w:bottom w:type="dxa" w:w="100"/>
              <w:right w:type="dxa" w:w="120"/>
            </w:tcMar>
          </w:tcPr>
          <w:p>
            <w:r>
              <w:rPr>
                <w:b/>
                <w:bCs/>
                <w:color w:val="FFFFFF"/>
                <w:sz w:val="20"/>
                <w:szCs w:val="20"/>
              </w:rPr>
              <w:t xml:space="preserve">Rôle</w:t>
            </w:r>
          </w:p>
        </w:tc>
      </w:tr>
      <w:tr>
        <w:tc>
          <w:tcPr>
            <w:tcW w:type="dxa" w:w="3300"/>
            <w:tcMar>
              <w:top w:type="dxa" w:w="100"/>
              <w:left w:type="dxa" w:w="120"/>
              <w:bottom w:type="dxa" w:w="100"/>
              <w:right w:type="dxa" w:w="120"/>
            </w:tcMar>
          </w:tcPr>
          <w:p>
            <w:r>
              <w:rPr>
                <w:b w:val="false"/>
                <w:bCs w:val="false"/>
                <w:sz w:val="20"/>
                <w:szCs w:val="20"/>
              </w:rPr>
              <w:t xml:space="preserve">load_all_chats()</w:t>
            </w:r>
          </w:p>
        </w:tc>
        <w:tc>
          <w:tcPr>
            <w:tcW w:type="dxa" w:w="6200"/>
            <w:tcMar>
              <w:top w:type="dxa" w:w="100"/>
              <w:left w:type="dxa" w:w="120"/>
              <w:bottom w:type="dxa" w:w="100"/>
              <w:right w:type="dxa" w:w="120"/>
            </w:tcMar>
          </w:tcPr>
          <w:p>
            <w:r>
              <w:rPr>
                <w:b w:val="false"/>
                <w:bCs w:val="false"/>
                <w:sz w:val="20"/>
                <w:szCs w:val="20"/>
              </w:rPr>
              <w:t xml:space="preserve">Charge l'ensemble des discussions depuis chats.json (dictionnaire vide si le fichier n'existe pas)</w:t>
            </w:r>
          </w:p>
        </w:tc>
      </w:tr>
      <w:tr>
        <w:tc>
          <w:tcPr>
            <w:tcW w:type="dxa" w:w="3300"/>
            <w:shd w:fill="F3F4F6" w:val="clear"/>
            <w:tcMar>
              <w:top w:type="dxa" w:w="100"/>
              <w:left w:type="dxa" w:w="120"/>
              <w:bottom w:type="dxa" w:w="100"/>
              <w:right w:type="dxa" w:w="120"/>
            </w:tcMar>
          </w:tcPr>
          <w:p>
            <w:r>
              <w:rPr>
                <w:b w:val="false"/>
                <w:bCs w:val="false"/>
                <w:sz w:val="20"/>
                <w:szCs w:val="20"/>
              </w:rPr>
              <w:t xml:space="preserve">save_all_chats(chats)</w:t>
            </w:r>
          </w:p>
        </w:tc>
        <w:tc>
          <w:tcPr>
            <w:tcW w:type="dxa" w:w="6200"/>
            <w:shd w:fill="F3F4F6" w:val="clear"/>
            <w:tcMar>
              <w:top w:type="dxa" w:w="100"/>
              <w:left w:type="dxa" w:w="120"/>
              <w:bottom w:type="dxa" w:w="100"/>
              <w:right w:type="dxa" w:w="120"/>
            </w:tcMar>
          </w:tcPr>
          <w:p>
            <w:r>
              <w:rPr>
                <w:b w:val="false"/>
                <w:bCs w:val="false"/>
                <w:sz w:val="20"/>
                <w:szCs w:val="20"/>
              </w:rPr>
              <w:t xml:space="preserve">Écrit l'état complet des discussions sur le disque</w:t>
            </w:r>
          </w:p>
        </w:tc>
      </w:tr>
      <w:tr>
        <w:tc>
          <w:tcPr>
            <w:tcW w:type="dxa" w:w="3300"/>
            <w:tcMar>
              <w:top w:type="dxa" w:w="100"/>
              <w:left w:type="dxa" w:w="120"/>
              <w:bottom w:type="dxa" w:w="100"/>
              <w:right w:type="dxa" w:w="120"/>
            </w:tcMar>
          </w:tcPr>
          <w:p>
            <w:r>
              <w:rPr>
                <w:b w:val="false"/>
                <w:bCs w:val="false"/>
                <w:sz w:val="20"/>
                <w:szCs w:val="20"/>
              </w:rPr>
              <w:t xml:space="preserve">create_new_chat()</w:t>
            </w:r>
          </w:p>
        </w:tc>
        <w:tc>
          <w:tcPr>
            <w:tcW w:type="dxa" w:w="6200"/>
            <w:tcMar>
              <w:top w:type="dxa" w:w="100"/>
              <w:left w:type="dxa" w:w="120"/>
              <w:bottom w:type="dxa" w:w="100"/>
              <w:right w:type="dxa" w:w="120"/>
            </w:tcMar>
          </w:tcPr>
          <w:p>
            <w:r>
              <w:rPr>
                <w:b w:val="false"/>
                <w:bCs w:val="false"/>
                <w:sz w:val="20"/>
                <w:szCs w:val="20"/>
              </w:rPr>
              <w:t xml:space="preserve">Crée une discussion vide, l'active et la sauvegarde</w:t>
            </w:r>
          </w:p>
        </w:tc>
      </w:tr>
      <w:tr>
        <w:tc>
          <w:tcPr>
            <w:tcW w:type="dxa" w:w="3300"/>
            <w:shd w:fill="F3F4F6" w:val="clear"/>
            <w:tcMar>
              <w:top w:type="dxa" w:w="100"/>
              <w:left w:type="dxa" w:w="120"/>
              <w:bottom w:type="dxa" w:w="100"/>
              <w:right w:type="dxa" w:w="120"/>
            </w:tcMar>
          </w:tcPr>
          <w:p>
            <w:r>
              <w:rPr>
                <w:b w:val="false"/>
                <w:bCs w:val="false"/>
                <w:sz w:val="20"/>
                <w:szCs w:val="20"/>
              </w:rPr>
              <w:t xml:space="preserve">switch_chat(chat_id)</w:t>
            </w:r>
          </w:p>
        </w:tc>
        <w:tc>
          <w:tcPr>
            <w:tcW w:type="dxa" w:w="6200"/>
            <w:shd w:fill="F3F4F6" w:val="clear"/>
            <w:tcMar>
              <w:top w:type="dxa" w:w="100"/>
              <w:left w:type="dxa" w:w="120"/>
              <w:bottom w:type="dxa" w:w="100"/>
              <w:right w:type="dxa" w:w="120"/>
            </w:tcMar>
          </w:tcPr>
          <w:p>
            <w:r>
              <w:rPr>
                <w:b w:val="false"/>
                <w:bCs w:val="false"/>
                <w:sz w:val="20"/>
                <w:szCs w:val="20"/>
              </w:rPr>
              <w:t xml:space="preserve">Bascule vers une discussion existante et recharge ses messages</w:t>
            </w:r>
          </w:p>
        </w:tc>
      </w:tr>
      <w:tr>
        <w:tc>
          <w:tcPr>
            <w:tcW w:type="dxa" w:w="3300"/>
            <w:tcMar>
              <w:top w:type="dxa" w:w="100"/>
              <w:left w:type="dxa" w:w="120"/>
              <w:bottom w:type="dxa" w:w="100"/>
              <w:right w:type="dxa" w:w="120"/>
            </w:tcMar>
          </w:tcPr>
          <w:p>
            <w:r>
              <w:rPr>
                <w:b w:val="false"/>
                <w:bCs w:val="false"/>
                <w:sz w:val="20"/>
                <w:szCs w:val="20"/>
              </w:rPr>
              <w:t xml:space="preserve">delete_chat(chat_id)</w:t>
            </w:r>
          </w:p>
        </w:tc>
        <w:tc>
          <w:tcPr>
            <w:tcW w:type="dxa" w:w="6200"/>
            <w:tcMar>
              <w:top w:type="dxa" w:w="100"/>
              <w:left w:type="dxa" w:w="120"/>
              <w:bottom w:type="dxa" w:w="100"/>
              <w:right w:type="dxa" w:w="120"/>
            </w:tcMar>
          </w:tcPr>
          <w:p>
            <w:r>
              <w:rPr>
                <w:b w:val="false"/>
                <w:bCs w:val="false"/>
                <w:sz w:val="20"/>
                <w:szCs w:val="20"/>
              </w:rPr>
              <w:t xml:space="preserve">Supprime une discussion ; bascule vers une autre ou en recrée une si nécessaire</w:t>
            </w:r>
          </w:p>
        </w:tc>
      </w:tr>
      <w:tr>
        <w:tc>
          <w:tcPr>
            <w:tcW w:type="dxa" w:w="3300"/>
            <w:shd w:fill="F3F4F6" w:val="clear"/>
            <w:tcMar>
              <w:top w:type="dxa" w:w="100"/>
              <w:left w:type="dxa" w:w="120"/>
              <w:bottom w:type="dxa" w:w="100"/>
              <w:right w:type="dxa" w:w="120"/>
            </w:tcMar>
          </w:tcPr>
          <w:p>
            <w:r>
              <w:rPr>
                <w:b w:val="false"/>
                <w:bCs w:val="false"/>
                <w:sz w:val="20"/>
                <w:szCs w:val="20"/>
              </w:rPr>
              <w:t xml:space="preserve">update_current_chat_title(msg)</w:t>
            </w:r>
          </w:p>
        </w:tc>
        <w:tc>
          <w:tcPr>
            <w:tcW w:type="dxa" w:w="6200"/>
            <w:shd w:fill="F3F4F6" w:val="clear"/>
            <w:tcMar>
              <w:top w:type="dxa" w:w="100"/>
              <w:left w:type="dxa" w:w="120"/>
              <w:bottom w:type="dxa" w:w="100"/>
              <w:right w:type="dxa" w:w="120"/>
            </w:tcMar>
          </w:tcPr>
          <w:p>
            <w:r>
              <w:rPr>
                <w:b w:val="false"/>
                <w:bCs w:val="false"/>
                <w:sz w:val="20"/>
                <w:szCs w:val="20"/>
              </w:rPr>
              <w:t xml:space="preserve">Renomme la discussion à partir du premier message posé</w:t>
            </w:r>
          </w:p>
        </w:tc>
      </w:tr>
    </w:tbl>
    <w:p>
      <w:pPr>
        <w:pStyle w:val="Heading2"/>
        <w:spacing w:after="160" w:before="280"/>
      </w:pPr>
      <w:r>
        <w:t xml:space="preserve">4.2 Pipeline RAG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2563EB" w:val="clear"/>
            <w:tcMar>
              <w:top w:type="dxa" w:w="100"/>
              <w:left w:type="dxa" w:w="120"/>
              <w:bottom w:type="dxa" w:w="100"/>
              <w:right w:type="dxa" w:w="120"/>
            </w:tcMar>
          </w:tcPr>
          <w:p>
            <w:r>
              <w:rPr>
                <w:b/>
                <w:bCs/>
                <w:color w:val="FFFFFF"/>
                <w:sz w:val="20"/>
                <w:szCs w:val="20"/>
              </w:rPr>
              <w:t xml:space="preserve">Fonction</w:t>
            </w:r>
          </w:p>
        </w:tc>
        <w:tc>
          <w:tcPr>
            <w:tcW w:type="dxa" w:w="6200"/>
            <w:shd w:fill="2563EB" w:val="clear"/>
            <w:tcMar>
              <w:top w:type="dxa" w:w="100"/>
              <w:left w:type="dxa" w:w="120"/>
              <w:bottom w:type="dxa" w:w="100"/>
              <w:right w:type="dxa" w:w="120"/>
            </w:tcMar>
          </w:tcPr>
          <w:p>
            <w:r>
              <w:rPr>
                <w:b/>
                <w:bCs/>
                <w:color w:val="FFFFFF"/>
                <w:sz w:val="20"/>
                <w:szCs w:val="20"/>
              </w:rPr>
              <w:t xml:space="preserve">Rôle</w:t>
            </w:r>
          </w:p>
        </w:tc>
      </w:tr>
      <w:tr>
        <w:tc>
          <w:tcPr>
            <w:tcW w:type="dxa" w:w="3300"/>
            <w:tcMar>
              <w:top w:type="dxa" w:w="100"/>
              <w:left w:type="dxa" w:w="120"/>
              <w:bottom w:type="dxa" w:w="100"/>
              <w:right w:type="dxa" w:w="120"/>
            </w:tcMar>
          </w:tcPr>
          <w:p>
            <w:r>
              <w:rPr>
                <w:b w:val="false"/>
                <w:bCs w:val="false"/>
                <w:sz w:val="20"/>
                <w:szCs w:val="20"/>
              </w:rPr>
              <w:t xml:space="preserve">load_documents(files)</w:t>
            </w:r>
          </w:p>
        </w:tc>
        <w:tc>
          <w:tcPr>
            <w:tcW w:type="dxa" w:w="6200"/>
            <w:tcMar>
              <w:top w:type="dxa" w:w="100"/>
              <w:left w:type="dxa" w:w="120"/>
              <w:bottom w:type="dxa" w:w="100"/>
              <w:right w:type="dxa" w:w="120"/>
            </w:tcMar>
          </w:tcPr>
          <w:p>
            <w:r>
              <w:rPr>
                <w:b w:val="false"/>
                <w:bCs w:val="false"/>
                <w:sz w:val="20"/>
                <w:szCs w:val="20"/>
              </w:rPr>
              <w:t xml:space="preserve">Lit les fichiers PDF/TXT et produit des objets Document LangChain avec métadonnées (source, page)</w:t>
            </w:r>
          </w:p>
        </w:tc>
      </w:tr>
      <w:tr>
        <w:tc>
          <w:tcPr>
            <w:tcW w:type="dxa" w:w="3300"/>
            <w:shd w:fill="F3F4F6" w:val="clear"/>
            <w:tcMar>
              <w:top w:type="dxa" w:w="100"/>
              <w:left w:type="dxa" w:w="120"/>
              <w:bottom w:type="dxa" w:w="100"/>
              <w:right w:type="dxa" w:w="120"/>
            </w:tcMar>
          </w:tcPr>
          <w:p>
            <w:r>
              <w:rPr>
                <w:b w:val="false"/>
                <w:bCs w:val="false"/>
                <w:sz w:val="20"/>
                <w:szCs w:val="20"/>
              </w:rPr>
              <w:t xml:space="preserve">split_documents(docs)</w:t>
            </w:r>
          </w:p>
        </w:tc>
        <w:tc>
          <w:tcPr>
            <w:tcW w:type="dxa" w:w="6200"/>
            <w:shd w:fill="F3F4F6" w:val="clear"/>
            <w:tcMar>
              <w:top w:type="dxa" w:w="100"/>
              <w:left w:type="dxa" w:w="120"/>
              <w:bottom w:type="dxa" w:w="100"/>
              <w:right w:type="dxa" w:w="120"/>
            </w:tcMar>
          </w:tcPr>
          <w:p>
            <w:r>
              <w:rPr>
                <w:b w:val="false"/>
                <w:bCs w:val="false"/>
                <w:sz w:val="20"/>
                <w:szCs w:val="20"/>
              </w:rPr>
              <w:t xml:space="preserve">Découpe les documents en chunks avec RecursiveCharacterTextSplitter</w:t>
            </w:r>
          </w:p>
        </w:tc>
      </w:tr>
      <w:tr>
        <w:tc>
          <w:tcPr>
            <w:tcW w:type="dxa" w:w="3300"/>
            <w:tcMar>
              <w:top w:type="dxa" w:w="100"/>
              <w:left w:type="dxa" w:w="120"/>
              <w:bottom w:type="dxa" w:w="100"/>
              <w:right w:type="dxa" w:w="120"/>
            </w:tcMar>
          </w:tcPr>
          <w:p>
            <w:r>
              <w:rPr>
                <w:b w:val="false"/>
                <w:bCs w:val="false"/>
                <w:sz w:val="20"/>
                <w:szCs w:val="20"/>
              </w:rPr>
              <w:t xml:space="preserve">create_vector_store(chunks)</w:t>
            </w:r>
          </w:p>
        </w:tc>
        <w:tc>
          <w:tcPr>
            <w:tcW w:type="dxa" w:w="6200"/>
            <w:tcMar>
              <w:top w:type="dxa" w:w="100"/>
              <w:left w:type="dxa" w:w="120"/>
              <w:bottom w:type="dxa" w:w="100"/>
              <w:right w:type="dxa" w:w="120"/>
            </w:tcMar>
          </w:tcPr>
          <w:p>
            <w:r>
              <w:rPr>
                <w:b w:val="false"/>
                <w:bCs w:val="false"/>
                <w:sz w:val="20"/>
                <w:szCs w:val="20"/>
              </w:rPr>
              <w:t xml:space="preserve">Génère les embeddings et indexe les chunks dans ChromaDB</w:t>
            </w:r>
          </w:p>
        </w:tc>
      </w:tr>
      <w:tr>
        <w:tc>
          <w:tcPr>
            <w:tcW w:type="dxa" w:w="3300"/>
            <w:shd w:fill="F3F4F6" w:val="clear"/>
            <w:tcMar>
              <w:top w:type="dxa" w:w="100"/>
              <w:left w:type="dxa" w:w="120"/>
              <w:bottom w:type="dxa" w:w="100"/>
              <w:right w:type="dxa" w:w="120"/>
            </w:tcMar>
          </w:tcPr>
          <w:p>
            <w:r>
              <w:rPr>
                <w:b w:val="false"/>
                <w:bCs w:val="false"/>
                <w:sz w:val="20"/>
                <w:szCs w:val="20"/>
              </w:rPr>
              <w:t xml:space="preserve">get_llm()</w:t>
            </w:r>
          </w:p>
        </w:tc>
        <w:tc>
          <w:tcPr>
            <w:tcW w:type="dxa" w:w="6200"/>
            <w:shd w:fill="F3F4F6" w:val="clear"/>
            <w:tcMar>
              <w:top w:type="dxa" w:w="100"/>
              <w:left w:type="dxa" w:w="120"/>
              <w:bottom w:type="dxa" w:w="100"/>
              <w:right w:type="dxa" w:w="120"/>
            </w:tcMar>
          </w:tcPr>
          <w:p>
            <w:r>
              <w:rPr>
                <w:b w:val="false"/>
                <w:bCs w:val="false"/>
                <w:sz w:val="20"/>
                <w:szCs w:val="20"/>
              </w:rPr>
              <w:t xml:space="preserve">Instancie le modèle Ollama local (qwen2.5-coder:3b, température 0,1)</w:t>
            </w:r>
          </w:p>
        </w:tc>
      </w:tr>
      <w:tr>
        <w:tc>
          <w:tcPr>
            <w:tcW w:type="dxa" w:w="3300"/>
            <w:tcMar>
              <w:top w:type="dxa" w:w="100"/>
              <w:left w:type="dxa" w:w="120"/>
              <w:bottom w:type="dxa" w:w="100"/>
              <w:right w:type="dxa" w:w="120"/>
            </w:tcMar>
          </w:tcPr>
          <w:p>
            <w:r>
              <w:rPr>
                <w:b w:val="false"/>
                <w:bCs w:val="false"/>
                <w:sz w:val="20"/>
                <w:szCs w:val="20"/>
              </w:rPr>
              <w:t xml:space="preserve">build_rag_prompt()</w:t>
            </w:r>
          </w:p>
        </w:tc>
        <w:tc>
          <w:tcPr>
            <w:tcW w:type="dxa" w:w="6200"/>
            <w:tcMar>
              <w:top w:type="dxa" w:w="100"/>
              <w:left w:type="dxa" w:w="120"/>
              <w:bottom w:type="dxa" w:w="100"/>
              <w:right w:type="dxa" w:w="120"/>
            </w:tcMar>
          </w:tcPr>
          <w:p>
            <w:r>
              <w:rPr>
                <w:b w:val="false"/>
                <w:bCs w:val="false"/>
                <w:sz w:val="20"/>
                <w:szCs w:val="20"/>
              </w:rPr>
              <w:t xml:space="preserve">Construit le ChatPromptTemplate contraignant le modèle au contexte fourni</w:t>
            </w:r>
          </w:p>
        </w:tc>
      </w:tr>
      <w:tr>
        <w:tc>
          <w:tcPr>
            <w:tcW w:type="dxa" w:w="3300"/>
            <w:shd w:fill="F3F4F6" w:val="clear"/>
            <w:tcMar>
              <w:top w:type="dxa" w:w="100"/>
              <w:left w:type="dxa" w:w="120"/>
              <w:bottom w:type="dxa" w:w="100"/>
              <w:right w:type="dxa" w:w="120"/>
            </w:tcMar>
          </w:tcPr>
          <w:p>
            <w:r>
              <w:rPr>
                <w:b w:val="false"/>
                <w:bCs w:val="false"/>
                <w:sz w:val="20"/>
                <w:szCs w:val="20"/>
              </w:rPr>
              <w:t xml:space="preserve">format_context(results)</w:t>
            </w:r>
          </w:p>
        </w:tc>
        <w:tc>
          <w:tcPr>
            <w:tcW w:type="dxa" w:w="6200"/>
            <w:shd w:fill="F3F4F6" w:val="clear"/>
            <w:tcMar>
              <w:top w:type="dxa" w:w="100"/>
              <w:left w:type="dxa" w:w="120"/>
              <w:bottom w:type="dxa" w:w="100"/>
              <w:right w:type="dxa" w:w="120"/>
            </w:tcMar>
          </w:tcPr>
          <w:p>
            <w:r>
              <w:rPr>
                <w:b w:val="false"/>
                <w:bCs w:val="false"/>
                <w:sz w:val="20"/>
                <w:szCs w:val="20"/>
              </w:rPr>
              <w:t xml:space="preserve">Transforme les chunks retrouvés en texte structuré injectable dans le prompt</w:t>
            </w:r>
          </w:p>
        </w:tc>
      </w:tr>
    </w:tbl>
    <w:p>
      <w:pPr>
        <w:pStyle w:val="Heading2"/>
        <w:spacing w:after="160" w:before="280"/>
      </w:pPr>
      <w:r>
        <w:t xml:space="preserve">4.3 Interface Streamlit</w:t>
      </w:r>
    </w:p>
    <w:p>
      <w:pPr>
        <w:spacing w:after="160"/>
      </w:pPr>
      <w:r>
        <w:t xml:space="preserve">La partie interface gère, dans l'ordre : la configuration de la page et l'injection du CSS personnalisé, l'initialisation de l'état de session (vector_store, discussions, chat courant), la barre latérale (gestion des discussions, upload et indexation), puis la zone de chat principale (affichage de l'historique, saisie de la question, exécution du mode approprié).</w:t>
      </w:r>
    </w:p>
    <w:p>
      <w:pPr>
        <w:pStyle w:val="Heading1"/>
        <w:spacing w:after="200" w:before="360"/>
      </w:pPr>
      <w:r>
        <w:t xml:space="preserve">5. Choix techniques et justifications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2563EB" w:val="clear"/>
            <w:tcMar>
              <w:top w:type="dxa" w:w="100"/>
              <w:left w:type="dxa" w:w="120"/>
              <w:bottom w:type="dxa" w:w="100"/>
              <w:right w:type="dxa" w:w="120"/>
            </w:tcMar>
          </w:tcPr>
          <w:p>
            <w:r>
              <w:rPr>
                <w:b/>
                <w:bCs/>
                <w:color w:val="FFFFFF"/>
                <w:sz w:val="20"/>
                <w:szCs w:val="20"/>
              </w:rPr>
              <w:t xml:space="preserve">Choix</w:t>
            </w:r>
          </w:p>
        </w:tc>
        <w:tc>
          <w:tcPr>
            <w:tcW w:type="dxa" w:w="6200"/>
            <w:shd w:fill="2563EB" w:val="clear"/>
            <w:tcMar>
              <w:top w:type="dxa" w:w="100"/>
              <w:left w:type="dxa" w:w="120"/>
              <w:bottom w:type="dxa" w:w="100"/>
              <w:right w:type="dxa" w:w="120"/>
            </w:tcMar>
          </w:tcPr>
          <w:p>
            <w:r>
              <w:rPr>
                <w:b/>
                <w:bCs/>
                <w:color w:val="FFFFFF"/>
                <w:sz w:val="20"/>
                <w:szCs w:val="20"/>
              </w:rPr>
              <w:t xml:space="preserve">Justification</w:t>
            </w:r>
          </w:p>
        </w:tc>
      </w:tr>
      <w:tr>
        <w:tc>
          <w:tcPr>
            <w:tcW w:type="dxa" w:w="3300"/>
            <w:tcMar>
              <w:top w:type="dxa" w:w="100"/>
              <w:left w:type="dxa" w:w="120"/>
              <w:bottom w:type="dxa" w:w="100"/>
              <w:right w:type="dxa" w:w="120"/>
            </w:tcMar>
          </w:tcPr>
          <w:p>
            <w:r>
              <w:rPr>
                <w:b w:val="false"/>
                <w:bCs w:val="false"/>
                <w:sz w:val="20"/>
                <w:szCs w:val="20"/>
              </w:rPr>
              <w:t xml:space="preserve">Fichier unique app.py</w:t>
            </w:r>
          </w:p>
        </w:tc>
        <w:tc>
          <w:tcPr>
            <w:tcW w:type="dxa" w:w="6200"/>
            <w:tcMar>
              <w:top w:type="dxa" w:w="100"/>
              <w:left w:type="dxa" w:w="120"/>
              <w:bottom w:type="dxa" w:w="100"/>
              <w:right w:type="dxa" w:w="120"/>
            </w:tcMar>
          </w:tcPr>
          <w:p>
            <w:r>
              <w:rPr>
                <w:b w:val="false"/>
                <w:bCs w:val="false"/>
                <w:sz w:val="20"/>
                <w:szCs w:val="20"/>
              </w:rPr>
              <w:t xml:space="preserve">Exigence explicite du sujet de TP</w:t>
            </w:r>
          </w:p>
        </w:tc>
      </w:tr>
      <w:tr>
        <w:tc>
          <w:tcPr>
            <w:tcW w:type="dxa" w:w="3300"/>
            <w:shd w:fill="F3F4F6" w:val="clear"/>
            <w:tcMar>
              <w:top w:type="dxa" w:w="100"/>
              <w:left w:type="dxa" w:w="120"/>
              <w:bottom w:type="dxa" w:w="100"/>
              <w:right w:type="dxa" w:w="120"/>
            </w:tcMar>
          </w:tcPr>
          <w:p>
            <w:r>
              <w:rPr>
                <w:b w:val="false"/>
                <w:bCs w:val="false"/>
                <w:sz w:val="20"/>
                <w:szCs w:val="20"/>
              </w:rPr>
              <w:t xml:space="preserve">ChromaDB avec persist_directory</w:t>
            </w:r>
          </w:p>
        </w:tc>
        <w:tc>
          <w:tcPr>
            <w:tcW w:type="dxa" w:w="6200"/>
            <w:shd w:fill="F3F4F6" w:val="clear"/>
            <w:tcMar>
              <w:top w:type="dxa" w:w="100"/>
              <w:left w:type="dxa" w:w="120"/>
              <w:bottom w:type="dxa" w:w="100"/>
              <w:right w:type="dxa" w:w="120"/>
            </w:tcMar>
          </w:tcPr>
          <w:p>
            <w:r>
              <w:rPr>
                <w:b w:val="false"/>
                <w:bCs w:val="false"/>
                <w:sz w:val="20"/>
                <w:szCs w:val="20"/>
              </w:rPr>
              <w:t xml:space="preserve">Base vectorielle légère, embarquée, sans serveur externe à administrer</w:t>
            </w:r>
          </w:p>
        </w:tc>
      </w:tr>
      <w:tr>
        <w:tc>
          <w:tcPr>
            <w:tcW w:type="dxa" w:w="3300"/>
            <w:tcMar>
              <w:top w:type="dxa" w:w="100"/>
              <w:left w:type="dxa" w:w="120"/>
              <w:bottom w:type="dxa" w:w="100"/>
              <w:right w:type="dxa" w:w="120"/>
            </w:tcMar>
          </w:tcPr>
          <w:p>
            <w:r>
              <w:rPr>
                <w:b w:val="false"/>
                <w:bCs w:val="false"/>
                <w:sz w:val="20"/>
                <w:szCs w:val="20"/>
              </w:rPr>
              <w:t xml:space="preserve">delete_collection() avant réindexation</w:t>
            </w:r>
          </w:p>
        </w:tc>
        <w:tc>
          <w:tcPr>
            <w:tcW w:type="dxa" w:w="6200"/>
            <w:tcMar>
              <w:top w:type="dxa" w:w="100"/>
              <w:left w:type="dxa" w:w="120"/>
              <w:bottom w:type="dxa" w:w="100"/>
              <w:right w:type="dxa" w:w="120"/>
            </w:tcMar>
          </w:tcPr>
          <w:p>
            <w:r>
              <w:rPr>
                <w:b w:val="false"/>
                <w:bCs w:val="false"/>
                <w:sz w:val="20"/>
                <w:szCs w:val="20"/>
              </w:rPr>
              <w:t xml:space="preserve">Évite l'accumulation de doublons ; plus fiable que la suppression de fichiers, qui provoque des erreurs de verrouillage sous Windows</w:t>
            </w:r>
          </w:p>
        </w:tc>
      </w:tr>
      <w:tr>
        <w:tc>
          <w:tcPr>
            <w:tcW w:type="dxa" w:w="3300"/>
            <w:shd w:fill="F3F4F6" w:val="clear"/>
            <w:tcMar>
              <w:top w:type="dxa" w:w="100"/>
              <w:left w:type="dxa" w:w="120"/>
              <w:bottom w:type="dxa" w:w="100"/>
              <w:right w:type="dxa" w:w="120"/>
            </w:tcMar>
          </w:tcPr>
          <w:p>
            <w:r>
              <w:rPr>
                <w:b w:val="false"/>
                <w:bCs w:val="false"/>
                <w:sz w:val="20"/>
                <w:szCs w:val="20"/>
              </w:rPr>
              <w:t xml:space="preserve">all-MiniLM-L6-v2 (HuggingFace)</w:t>
            </w:r>
          </w:p>
        </w:tc>
        <w:tc>
          <w:tcPr>
            <w:tcW w:type="dxa" w:w="6200"/>
            <w:shd w:fill="F3F4F6" w:val="clear"/>
            <w:tcMar>
              <w:top w:type="dxa" w:w="100"/>
              <w:left w:type="dxa" w:w="120"/>
              <w:bottom w:type="dxa" w:w="100"/>
              <w:right w:type="dxa" w:w="120"/>
            </w:tcMar>
          </w:tcPr>
          <w:p>
            <w:r>
              <w:rPr>
                <w:b w:val="false"/>
                <w:bCs w:val="false"/>
                <w:sz w:val="20"/>
                <w:szCs w:val="20"/>
              </w:rPr>
              <w:t xml:space="preserve">Modèle d'embeddings compact et rapide, suffisant pour un usage local sans GPU dédié</w:t>
            </w:r>
          </w:p>
        </w:tc>
      </w:tr>
      <w:tr>
        <w:tc>
          <w:tcPr>
            <w:tcW w:type="dxa" w:w="3300"/>
            <w:tcMar>
              <w:top w:type="dxa" w:w="100"/>
              <w:left w:type="dxa" w:w="120"/>
              <w:bottom w:type="dxa" w:w="100"/>
              <w:right w:type="dxa" w:w="120"/>
            </w:tcMar>
          </w:tcPr>
          <w:p>
            <w:r>
              <w:rPr>
                <w:b w:val="false"/>
                <w:bCs w:val="false"/>
                <w:sz w:val="20"/>
                <w:szCs w:val="20"/>
              </w:rPr>
              <w:t xml:space="preserve">qwen2.5-coder:3b via Ollama</w:t>
            </w:r>
          </w:p>
        </w:tc>
        <w:tc>
          <w:tcPr>
            <w:tcW w:type="dxa" w:w="6200"/>
            <w:tcMar>
              <w:top w:type="dxa" w:w="100"/>
              <w:left w:type="dxa" w:w="120"/>
              <w:bottom w:type="dxa" w:w="100"/>
              <w:right w:type="dxa" w:w="120"/>
            </w:tcMar>
          </w:tcPr>
          <w:p>
            <w:r>
              <w:rPr>
                <w:b w:val="false"/>
                <w:bCs w:val="false"/>
                <w:sz w:val="20"/>
                <w:szCs w:val="20"/>
              </w:rPr>
              <w:t xml:space="preserve">Modèle léger (3 milliards de paramètres), exécutable localement, confidentiel et gratuit</w:t>
            </w:r>
          </w:p>
        </w:tc>
      </w:tr>
      <w:tr>
        <w:tc>
          <w:tcPr>
            <w:tcW w:type="dxa" w:w="3300"/>
            <w:shd w:fill="F3F4F6" w:val="clear"/>
            <w:tcMar>
              <w:top w:type="dxa" w:w="100"/>
              <w:left w:type="dxa" w:w="120"/>
              <w:bottom w:type="dxa" w:w="100"/>
              <w:right w:type="dxa" w:w="120"/>
            </w:tcMar>
          </w:tcPr>
          <w:p>
            <w:r>
              <w:rPr>
                <w:b w:val="false"/>
                <w:bCs w:val="false"/>
                <w:sz w:val="20"/>
                <w:szCs w:val="20"/>
              </w:rPr>
              <w:t xml:space="preserve">temperature = 0,1</w:t>
            </w:r>
          </w:p>
        </w:tc>
        <w:tc>
          <w:tcPr>
            <w:tcW w:type="dxa" w:w="6200"/>
            <w:shd w:fill="F3F4F6" w:val="clear"/>
            <w:tcMar>
              <w:top w:type="dxa" w:w="100"/>
              <w:left w:type="dxa" w:w="120"/>
              <w:bottom w:type="dxa" w:w="100"/>
              <w:right w:type="dxa" w:w="120"/>
            </w:tcMar>
          </w:tcPr>
          <w:p>
            <w:r>
              <w:rPr>
                <w:b w:val="false"/>
                <w:bCs w:val="false"/>
                <w:sz w:val="20"/>
                <w:szCs w:val="20"/>
              </w:rPr>
              <w:t xml:space="preserve">Réponses factuelles et déterministes, cohérentes avec un système RAG qui doit rester fidèle au contexte</w:t>
            </w:r>
          </w:p>
        </w:tc>
      </w:tr>
      <w:tr>
        <w:tc>
          <w:tcPr>
            <w:tcW w:type="dxa" w:w="3300"/>
            <w:tcMar>
              <w:top w:type="dxa" w:w="100"/>
              <w:left w:type="dxa" w:w="120"/>
              <w:bottom w:type="dxa" w:w="100"/>
              <w:right w:type="dxa" w:w="120"/>
            </w:tcMar>
          </w:tcPr>
          <w:p>
            <w:r>
              <w:rPr>
                <w:b w:val="false"/>
                <w:bCs w:val="false"/>
                <w:sz w:val="20"/>
                <w:szCs w:val="20"/>
              </w:rPr>
              <w:t xml:space="preserve">ChatPromptTemplate strict</w:t>
            </w:r>
          </w:p>
        </w:tc>
        <w:tc>
          <w:tcPr>
            <w:tcW w:type="dxa" w:w="6200"/>
            <w:tcMar>
              <w:top w:type="dxa" w:w="100"/>
              <w:left w:type="dxa" w:w="120"/>
              <w:bottom w:type="dxa" w:w="100"/>
              <w:right w:type="dxa" w:w="120"/>
            </w:tcMar>
          </w:tcPr>
          <w:p>
            <w:r>
              <w:rPr>
                <w:b w:val="false"/>
                <w:bCs w:val="false"/>
                <w:sz w:val="20"/>
                <w:szCs w:val="20"/>
              </w:rPr>
              <w:t xml:space="preserve">Réduit le risque d'hallucination en forçant une réponse explicite d'absence d'information si nécessaire</w:t>
            </w:r>
          </w:p>
        </w:tc>
      </w:tr>
      <w:tr>
        <w:tc>
          <w:tcPr>
            <w:tcW w:type="dxa" w:w="3300"/>
            <w:shd w:fill="F3F4F6" w:val="clear"/>
            <w:tcMar>
              <w:top w:type="dxa" w:w="100"/>
              <w:left w:type="dxa" w:w="120"/>
              <w:bottom w:type="dxa" w:w="100"/>
              <w:right w:type="dxa" w:w="120"/>
            </w:tcMar>
          </w:tcPr>
          <w:p>
            <w:r>
              <w:rPr>
                <w:b w:val="false"/>
                <w:bCs w:val="false"/>
                <w:sz w:val="20"/>
                <w:szCs w:val="20"/>
              </w:rPr>
              <w:t xml:space="preserve">Stockage JSON (chats.json)</w:t>
            </w:r>
          </w:p>
        </w:tc>
        <w:tc>
          <w:tcPr>
            <w:tcW w:type="dxa" w:w="6200"/>
            <w:shd w:fill="F3F4F6" w:val="clear"/>
            <w:tcMar>
              <w:top w:type="dxa" w:w="100"/>
              <w:left w:type="dxa" w:w="120"/>
              <w:bottom w:type="dxa" w:w="100"/>
              <w:right w:type="dxa" w:w="120"/>
            </w:tcMar>
          </w:tcPr>
          <w:p>
            <w:r>
              <w:rPr>
                <w:b w:val="false"/>
                <w:bCs w:val="false"/>
                <w:sz w:val="20"/>
                <w:szCs w:val="20"/>
              </w:rPr>
              <w:t xml:space="preserve">Simplicité de mise en œuvre pour un TP, sans nécessité d'un système de gestion de base de données</w:t>
            </w:r>
          </w:p>
        </w:tc>
      </w:tr>
      <w:tr>
        <w:tc>
          <w:tcPr>
            <w:tcW w:type="dxa" w:w="3300"/>
            <w:tcMar>
              <w:top w:type="dxa" w:w="100"/>
              <w:left w:type="dxa" w:w="120"/>
              <w:bottom w:type="dxa" w:w="100"/>
              <w:right w:type="dxa" w:w="120"/>
            </w:tcMar>
          </w:tcPr>
          <w:p>
            <w:r>
              <w:rPr>
                <w:b w:val="false"/>
                <w:bCs w:val="false"/>
                <w:sz w:val="20"/>
                <w:szCs w:val="20"/>
              </w:rPr>
              <w:t xml:space="preserve">RecursiveCharacterTextSplitter (700 / 100)</w:t>
            </w:r>
          </w:p>
        </w:tc>
        <w:tc>
          <w:tcPr>
            <w:tcW w:type="dxa" w:w="6200"/>
            <w:tcMar>
              <w:top w:type="dxa" w:w="100"/>
              <w:left w:type="dxa" w:w="120"/>
              <w:bottom w:type="dxa" w:w="100"/>
              <w:right w:type="dxa" w:w="120"/>
            </w:tcMar>
          </w:tcPr>
          <w:p>
            <w:r>
              <w:rPr>
                <w:b w:val="false"/>
                <w:bCs w:val="false"/>
                <w:sz w:val="20"/>
                <w:szCs w:val="20"/>
              </w:rPr>
              <w:t xml:space="preserve">Découpage respectant autant que possible les frontières naturelles du texte (paragraphes, phrases), avec un recouvrement limitant la perte de contexte entre chunks</w:t>
            </w:r>
          </w:p>
        </w:tc>
      </w:tr>
    </w:tbl>
    <w:p>
      <w:r>
        <w:br w:type="page"/>
      </w:r>
    </w:p>
    <w:p>
      <w:pPr>
        <w:pStyle w:val="Heading1"/>
        <w:spacing w:after="200" w:before="360"/>
      </w:pPr>
      <w:r>
        <w:t xml:space="preserve">6. Installation et déploiement</w:t>
      </w:r>
    </w:p>
    <w:p>
      <w:pPr>
        <w:pStyle w:val="Heading2"/>
        <w:spacing w:after="160" w:before="280"/>
      </w:pPr>
      <w:r>
        <w:t xml:space="preserve">6.1 Prérequis</w:t>
      </w:r>
    </w:p>
    <w:p>
      <w:pPr>
        <w:pStyle w:val="ListParagraph"/>
        <w:numPr>
          <w:ilvl w:val="0"/>
          <w:numId w:val="1"/>
        </w:numPr>
        <w:spacing w:after="80"/>
      </w:pPr>
      <w:r>
        <w:t xml:space="preserve">Python 3.10 ou supérieur</w:t>
      </w:r>
    </w:p>
    <w:p>
      <w:pPr>
        <w:pStyle w:val="ListParagraph"/>
        <w:numPr>
          <w:ilvl w:val="0"/>
          <w:numId w:val="1"/>
        </w:numPr>
        <w:spacing w:after="80"/>
      </w:pPr>
      <w:r>
        <w:t xml:space="preserve">Ollama installé et lancé localement</w:t>
      </w:r>
    </w:p>
    <w:p>
      <w:pPr>
        <w:pStyle w:val="ListParagraph"/>
        <w:numPr>
          <w:ilvl w:val="0"/>
          <w:numId w:val="1"/>
        </w:numPr>
        <w:spacing w:after="80"/>
      </w:pPr>
      <w:r>
        <w:t xml:space="preserve">Le modèle qwen2.5-coder:3b téléchargé</w:t>
      </w:r>
    </w:p>
    <w:p>
      <w:pPr>
        <w:pStyle w:val="Heading2"/>
        <w:spacing w:after="160" w:before="280"/>
      </w:pPr>
      <w:r>
        <w:t xml:space="preserve">6.2 Installation d'Ollama et du modèle</w:t>
      </w:r>
    </w:p>
    <w:p>
      <w:pPr>
        <w:pBdr>
          <w:top w:val="single" w:color="D1D5DB" w:sz="2"/>
          <w:bottom w:val="single" w:color="D1D5DB" w:sz="2"/>
          <w:left w:val="single" w:color="D1D5DB" w:sz="2"/>
          <w:right w:val="single" w:color="D1D5DB" w:sz="2"/>
        </w:pBdr>
        <w:shd w:fill="F3F4F6" w:val="clear"/>
        <w:spacing w:after="160"/>
      </w:pPr>
      <w:r>
        <w:rPr>
          <w:rFonts w:ascii="Consolas" w:cs="Consolas" w:eastAsia="Consolas" w:hAnsi="Consolas"/>
          <w:sz w:val="18"/>
          <w:szCs w:val="18"/>
        </w:rPr>
        <w:t xml:space="preserve">ollama pull qwen2.5-coder:3b</w:t>
      </w:r>
      <w:r>
        <w:rPr>
          <w:rFonts w:ascii="Consolas" w:cs="Consolas" w:eastAsia="Consolas" w:hAnsi="Consolas"/>
          <w:sz w:val="18"/>
          <w:szCs w:val="18"/>
        </w:rPr>
        <w:br/>
        <w:t xml:space="preserve">ollama serve</w:t>
      </w:r>
    </w:p>
    <w:p>
      <w:pPr>
        <w:pStyle w:val="Heading2"/>
        <w:spacing w:after="160" w:before="280"/>
      </w:pPr>
      <w:r>
        <w:t xml:space="preserve">6.3 Installation du projet</w:t>
      </w:r>
    </w:p>
    <w:p>
      <w:pPr>
        <w:pBdr>
          <w:top w:val="single" w:color="D1D5DB" w:sz="2"/>
          <w:bottom w:val="single" w:color="D1D5DB" w:sz="2"/>
          <w:left w:val="single" w:color="D1D5DB" w:sz="2"/>
          <w:right w:val="single" w:color="D1D5DB" w:sz="2"/>
        </w:pBdr>
        <w:shd w:fill="F3F4F6" w:val="clear"/>
        <w:spacing w:after="160"/>
      </w:pPr>
      <w:r>
        <w:rPr>
          <w:rFonts w:ascii="Consolas" w:cs="Consolas" w:eastAsia="Consolas" w:hAnsi="Consolas"/>
          <w:sz w:val="18"/>
          <w:szCs w:val="18"/>
        </w:rPr>
        <w:t xml:space="preserve">git clone &lt;url-du-depot&gt;</w:t>
      </w:r>
      <w:r>
        <w:rPr>
          <w:rFonts w:ascii="Consolas" w:cs="Consolas" w:eastAsia="Consolas" w:hAnsi="Consolas"/>
          <w:sz w:val="18"/>
          <w:szCs w:val="18"/>
        </w:rPr>
        <w:br/>
        <w:t xml:space="preserve">cd &lt;nom-du-dossier&gt;</w:t>
      </w:r>
      <w:r>
        <w:rPr>
          <w:rFonts w:ascii="Consolas" w:cs="Consolas" w:eastAsia="Consolas" w:hAnsi="Consolas"/>
          <w:sz w:val="18"/>
          <w:szCs w:val="18"/>
        </w:rPr>
        <w:br/>
        <w:t xml:space="preserve"/>
      </w:r>
      <w:r>
        <w:rPr>
          <w:rFonts w:ascii="Consolas" w:cs="Consolas" w:eastAsia="Consolas" w:hAnsi="Consolas"/>
          <w:sz w:val="18"/>
          <w:szCs w:val="18"/>
        </w:rPr>
        <w:br/>
        <w:t xml:space="preserve">python -m venv venv</w:t>
      </w:r>
      <w:r>
        <w:rPr>
          <w:rFonts w:ascii="Consolas" w:cs="Consolas" w:eastAsia="Consolas" w:hAnsi="Consolas"/>
          <w:sz w:val="18"/>
          <w:szCs w:val="18"/>
        </w:rPr>
        <w:br/>
        <w:t xml:space="preserve">venv\Scripts\activate        (Windows)</w:t>
      </w:r>
      <w:r>
        <w:rPr>
          <w:rFonts w:ascii="Consolas" w:cs="Consolas" w:eastAsia="Consolas" w:hAnsi="Consolas"/>
          <w:sz w:val="18"/>
          <w:szCs w:val="18"/>
        </w:rPr>
        <w:br/>
        <w:t xml:space="preserve">source venv/bin/activate     (macOS / Linux)</w:t>
      </w:r>
      <w:r>
        <w:rPr>
          <w:rFonts w:ascii="Consolas" w:cs="Consolas" w:eastAsia="Consolas" w:hAnsi="Consolas"/>
          <w:sz w:val="18"/>
          <w:szCs w:val="18"/>
        </w:rPr>
        <w:br/>
        <w:t xml:space="preserve"/>
      </w:r>
      <w:r>
        <w:rPr>
          <w:rFonts w:ascii="Consolas" w:cs="Consolas" w:eastAsia="Consolas" w:hAnsi="Consolas"/>
          <w:sz w:val="18"/>
          <w:szCs w:val="18"/>
        </w:rPr>
        <w:br/>
        <w:t xml:space="preserve">pip install streamlit pillow langchain-community langchain-text-splitters \</w:t>
      </w:r>
      <w:r>
        <w:rPr>
          <w:rFonts w:ascii="Consolas" w:cs="Consolas" w:eastAsia="Consolas" w:hAnsi="Consolas"/>
          <w:sz w:val="18"/>
          <w:szCs w:val="18"/>
        </w:rPr>
        <w:br/>
        <w:t xml:space="preserve">    langchain-huggingface langchain-chroma langchain-ollama langchain-core</w:t>
      </w:r>
    </w:p>
    <w:p>
      <w:pPr>
        <w:pStyle w:val="Heading2"/>
        <w:spacing w:after="160" w:before="280"/>
      </w:pPr>
      <w:r>
        <w:t xml:space="preserve">6.4 Lancement</w:t>
      </w:r>
    </w:p>
    <w:p>
      <w:pPr>
        <w:pBdr>
          <w:top w:val="single" w:color="D1D5DB" w:sz="2"/>
          <w:bottom w:val="single" w:color="D1D5DB" w:sz="2"/>
          <w:left w:val="single" w:color="D1D5DB" w:sz="2"/>
          <w:right w:val="single" w:color="D1D5DB" w:sz="2"/>
        </w:pBdr>
        <w:shd w:fill="F3F4F6" w:val="clear"/>
        <w:spacing w:after="160"/>
      </w:pPr>
      <w:r>
        <w:rPr>
          <w:rFonts w:ascii="Consolas" w:cs="Consolas" w:eastAsia="Consolas" w:hAnsi="Consolas"/>
          <w:sz w:val="18"/>
          <w:szCs w:val="18"/>
        </w:rPr>
        <w:t xml:space="preserve">streamlit run app.py</w:t>
      </w:r>
    </w:p>
    <w:p>
      <w:pPr>
        <w:spacing w:after="160"/>
      </w:pPr>
      <w:r>
        <w:t xml:space="preserve">L'application s'ouvre automatiquement dans le navigateur, par défaut à l'adresse http://localhost:8501.</w:t>
      </w:r>
    </w:p>
    <w:p>
      <w:pPr>
        <w:pStyle w:val="Heading1"/>
        <w:spacing w:after="200" w:before="360"/>
      </w:pPr>
      <w:r>
        <w:t xml:space="preserve">7. Guide d'utilisation</w:t>
      </w:r>
    </w:p>
    <w:p>
      <w:pPr>
        <w:pStyle w:val="Heading2"/>
        <w:spacing w:after="160" w:before="280"/>
      </w:pPr>
      <w:r>
        <w:t xml:space="preserve">7.1 Indexer des documents</w:t>
      </w:r>
    </w:p>
    <w:p>
      <w:pPr>
        <w:spacing w:after="160"/>
      </w:pPr>
      <w:r>
        <w:t xml:space="preserve">Depuis la barre latérale, sélectionner un ou plusieurs fichiers (PDF, TXT, MD) via le composant d'upload, puis cliquer sur « Indexer les documents ». Un indicateur de progression s'affiche pendant la lecture et la vectorisation.</w:t>
      </w:r>
    </w:p>
    <w:p>
      <w:pPr>
        <w:pStyle w:val="Heading2"/>
        <w:spacing w:after="160" w:before="280"/>
      </w:pPr>
      <w:r>
        <w:t xml:space="preserve">7.2 Choisir un mode de fonctionnement</w:t>
      </w:r>
    </w:p>
    <w:p>
      <w:pPr>
        <w:pStyle w:val="ListParagraph"/>
        <w:numPr>
          <w:ilvl w:val="0"/>
          <w:numId w:val="1"/>
        </w:numPr>
        <w:spacing w:after="80"/>
      </w:pPr>
      <w:r>
        <w:t xml:space="preserve">Toggle désactivé + documents indexés : recherche sémantique</w:t>
      </w:r>
    </w:p>
    <w:p>
      <w:pPr>
        <w:pStyle w:val="ListParagraph"/>
        <w:numPr>
          <w:ilvl w:val="0"/>
          <w:numId w:val="1"/>
        </w:numPr>
        <w:spacing w:after="80"/>
      </w:pPr>
      <w:r>
        <w:t xml:space="preserve">Toggle activé + documents indexés : mode RAG complet</w:t>
      </w:r>
    </w:p>
    <w:p>
      <w:pPr>
        <w:pStyle w:val="ListParagraph"/>
        <w:numPr>
          <w:ilvl w:val="0"/>
          <w:numId w:val="1"/>
        </w:numPr>
        <w:spacing w:after="80"/>
      </w:pPr>
      <w:r>
        <w:t xml:space="preserve">Toggle activé + aucun document indexé : chat libre</w:t>
      </w:r>
    </w:p>
    <w:p>
      <w:pPr>
        <w:pStyle w:val="Heading2"/>
        <w:spacing w:after="160" w:before="280"/>
      </w:pPr>
      <w:r>
        <w:t xml:space="preserve">7.3 Gérer les discussions</w:t>
      </w:r>
    </w:p>
    <w:p>
      <w:pPr>
        <w:spacing w:after="160"/>
      </w:pPr>
      <w:r>
        <w:t xml:space="preserve">Le bouton « Nouveau chat » démarre une conversation vierge. Chaque discussion précédente reste accessible dans la liste de la barre latérale et peut être rouverte en un clic. L'icône de corbeille supprime définitivement une discussion.</w:t>
      </w:r>
    </w:p>
    <w:p>
      <w:pPr>
        <w:pStyle w:val="Heading1"/>
        <w:spacing w:after="200" w:before="360"/>
      </w:pPr>
      <w:r>
        <w:t xml:space="preserve">8. Gestion des erreurs</w:t>
      </w:r>
    </w:p>
    <w:p>
      <w:pPr>
        <w:spacing w:after="160"/>
      </w:pPr>
      <w:r>
        <w:t xml:space="preserve">Les appels au modèle Ollama sont encadrés par une gestion d'exception : si le serveur Ollama n'est pas démarré ou que le modèle n'est pas disponible, l'application affiche un message d'erreur explicite à l'utilisateur plutôt qu'un traceback technique brut, tout en conservant le détail de l'erreur pour le débogage.</w:t>
      </w:r>
    </w:p>
    <w:p>
      <w:pPr>
        <w:spacing w:after="160"/>
      </w:pPr>
      <w:r>
        <w:t xml:space="preserve">Un contrôle est également effectué avant toute recherche ou génération : si aucune base vectorielle n'existe encore en session, l'utilisateur est invité à indexer un document ou à activer le mode chat libre.</w:t>
      </w:r>
    </w:p>
    <w:p>
      <w:pPr>
        <w:pStyle w:val="Heading1"/>
        <w:spacing w:after="200" w:before="360"/>
      </w:pPr>
      <w:r>
        <w:t xml:space="preserve">9. Limites connues et améliorations possibles</w:t>
      </w:r>
    </w:p>
    <w:p>
      <w:pPr>
        <w:pStyle w:val="Heading2"/>
        <w:spacing w:after="160" w:before="280"/>
      </w:pPr>
      <w:r>
        <w:t xml:space="preserve">9.1 Limites actuelles</w:t>
      </w:r>
    </w:p>
    <w:p>
      <w:pPr>
        <w:pStyle w:val="ListParagraph"/>
        <w:numPr>
          <w:ilvl w:val="0"/>
          <w:numId w:val="1"/>
        </w:numPr>
        <w:spacing w:after="80"/>
      </w:pPr>
      <w:r>
        <w:t xml:space="preserve">Les sources affichées dans le panneau de transparence ne sont pas conservées dans l'historique persistant : elles ne s'affichent qu'au moment de la génération de la réponse.</w:t>
      </w:r>
    </w:p>
    <w:p>
      <w:pPr>
        <w:pStyle w:val="ListParagraph"/>
        <w:numPr>
          <w:ilvl w:val="0"/>
          <w:numId w:val="1"/>
        </w:numPr>
        <w:spacing w:after="80"/>
      </w:pPr>
      <w:r>
        <w:t xml:space="preserve">La réindexation remplace intégralement la base vectorielle existante ; il n'est pas possible d'ajouter des documents de façon incrémentale sans réindexer l'ensemble.</w:t>
      </w:r>
    </w:p>
    <w:p>
      <w:pPr>
        <w:pStyle w:val="ListParagraph"/>
        <w:numPr>
          <w:ilvl w:val="0"/>
          <w:numId w:val="1"/>
        </w:numPr>
        <w:spacing w:after="80"/>
      </w:pPr>
      <w:r>
        <w:t xml:space="preserve">Aucune confirmation n'est demandée avant la suppression définitive d'une discussion.</w:t>
      </w:r>
    </w:p>
    <w:p>
      <w:pPr>
        <w:pStyle w:val="ListParagraph"/>
        <w:numPr>
          <w:ilvl w:val="0"/>
          <w:numId w:val="1"/>
        </w:numPr>
        <w:spacing w:after="80"/>
      </w:pPr>
      <w:r>
        <w:t xml:space="preserve">Le score de similarité affiché en mode recherche sémantique n'est pas filtré : des résultats peu pertinents peuvent apparaître si aucun chunk proche n'existe réellement.</w:t>
      </w:r>
    </w:p>
    <w:p>
      <w:pPr>
        <w:pStyle w:val="Heading2"/>
        <w:spacing w:after="160" w:before="280"/>
      </w:pPr>
      <w:r>
        <w:t xml:space="preserve">9.2 Pistes d'amélioration</w:t>
      </w:r>
    </w:p>
    <w:p>
      <w:pPr>
        <w:pStyle w:val="ListParagraph"/>
        <w:numPr>
          <w:ilvl w:val="0"/>
          <w:numId w:val="1"/>
        </w:numPr>
        <w:spacing w:after="80"/>
      </w:pPr>
      <w:r>
        <w:t xml:space="preserve">Ajout d'une confirmation avant suppression d'une discussion.</w:t>
      </w:r>
    </w:p>
    <w:p>
      <w:pPr>
        <w:pStyle w:val="ListParagraph"/>
        <w:numPr>
          <w:ilvl w:val="0"/>
          <w:numId w:val="1"/>
        </w:numPr>
        <w:spacing w:after="80"/>
      </w:pPr>
      <w:r>
        <w:t xml:space="preserve">Persistance des sources associées à chaque réponse dans l'historique de discussion.</w:t>
      </w:r>
    </w:p>
    <w:p>
      <w:pPr>
        <w:pStyle w:val="ListParagraph"/>
        <w:numPr>
          <w:ilvl w:val="0"/>
          <w:numId w:val="1"/>
        </w:numPr>
        <w:spacing w:after="80"/>
      </w:pPr>
      <w:r>
        <w:t xml:space="preserve">Indexation incrémentale par déduplication (hash de contenu) plutôt que remplacement complet.</w:t>
      </w:r>
    </w:p>
    <w:p>
      <w:pPr>
        <w:pStyle w:val="ListParagraph"/>
        <w:numPr>
          <w:ilvl w:val="0"/>
          <w:numId w:val="1"/>
        </w:numPr>
        <w:spacing w:after="80"/>
      </w:pPr>
      <w:r>
        <w:t xml:space="preserve">Filtrage des résultats de recherche sémantique en dessous d'un seuil de score configurable.</w:t>
      </w:r>
    </w:p>
    <w:p>
      <w:pPr>
        <w:pStyle w:val="ListParagraph"/>
        <w:numPr>
          <w:ilvl w:val="0"/>
          <w:numId w:val="1"/>
        </w:numPr>
        <w:spacing w:after="80"/>
      </w:pPr>
      <w:r>
        <w:t xml:space="preserve">Ajout de tests automatisés sur les fonctions de traitement de documents et de chunking.</w:t>
      </w:r>
    </w:p>
    <w:p>
      <w:pPr>
        <w:pStyle w:val="Heading1"/>
        <w:spacing w:after="200" w:before="360"/>
      </w:pPr>
      <w:r>
        <w:t xml:space="preserve">10. Conclusion</w:t>
      </w:r>
    </w:p>
    <w:p>
      <w:pPr>
        <w:spacing w:after="160"/>
      </w:pPr>
      <w:r>
        <w:t xml:space="preserve">Ce projet a permis de mettre en œuvre, de bout en bout, un système RAG fonctionnel et entièrement local, en couvrant l'ensemble des briques attendues par le sujet du TP : lecture de documents, découpage, vectorisation, indexation, recherche sémantique, connexion à un modèle de langage local et génération de réponses contextualisées et traçables. Les fonctionnalités additionnelles développées — mode chat libre, gestion de discussions multiples persistantes, amélioration de l'interface — illustrent une démarche allant au-delà des exigences minimales du sujet, tout en conservant une architecture simple et compréhensible, adaptée au cadre pédagogique du TP.</w:t>
      </w:r>
    </w:p>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Tafatafa AI — Documentation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2563EB"/>
      <w:sz w:val="32"/>
      <w:szCs w:val="32"/>
    </w:rPr>
  </w:style>
  <w:style w:type="paragraph" w:styleId="Heading2">
    <w:name w:val="Heading 2"/>
    <w:basedOn w:val="Normal"/>
    <w:next w:val="Normal"/>
    <w:qFormat/>
    <w:rPr>
      <w:b/>
      <w:bCs/>
      <w:color w:val="1F2937"/>
      <w:sz w:val="26"/>
      <w:szCs w:val="26"/>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2026-07-17T21:28:51.248Z</dcterms:created>
  <dcterms:modified xsi:type="dcterms:W3CDTF">2026-07-17T21:28:51.271Z</dcterms:modified>
</cp:coreProperties>
</file>

<file path=docProps/custom.xml><?xml version="1.0" encoding="utf-8"?>
<Properties xmlns="http://schemas.openxmlformats.org/officeDocument/2006/custom-properties" xmlns:vt="http://schemas.openxmlformats.org/officeDocument/2006/docPropsVTypes"/>
</file>