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89F2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当前成果：Web漏洞PoC智能管理平台</w:t>
      </w:r>
    </w:p>
    <w:p w14:paraId="7CF99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主要面向 Web 漏洞验证场景，</w:t>
      </w:r>
      <w:r>
        <w:rPr>
          <w:rFonts w:hint="eastAsia" w:cs="宋体"/>
          <w:lang w:val="en-US" w:eastAsia="zh-CN"/>
        </w:rPr>
        <w:t>针对已有Web漏洞结合漏洞分析报告</w:t>
      </w:r>
      <w:r>
        <w:rPr>
          <w:rFonts w:hint="eastAsia" w:ascii="宋体" w:hAnsi="宋体" w:eastAsia="宋体" w:cs="宋体"/>
        </w:rPr>
        <w:t>提供POC智能生成</w:t>
      </w:r>
      <w:r>
        <w:rPr>
          <w:rFonts w:hint="eastAsia" w:cs="宋体"/>
          <w:lang w:val="en-US" w:eastAsia="zh-CN"/>
        </w:rPr>
        <w:t>,统一格式</w:t>
      </w:r>
      <w:r>
        <w:rPr>
          <w:rFonts w:hint="eastAsia" w:ascii="宋体" w:hAnsi="宋体" w:eastAsia="宋体" w:cs="宋体"/>
        </w:rPr>
        <w:t>、POC管理、目标验证执行、批量检测记录、外部资产接入能力。</w:t>
      </w:r>
    </w:p>
    <w:p w14:paraId="002BC48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一、智能 POC 生成</w:t>
      </w:r>
    </w:p>
    <w:p w14:paraId="165731B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根据漏洞描述、CVE 编号或 HTTP 数据生成 Web 漏洞验证 POC。</w:t>
      </w:r>
    </w:p>
    <w:p w14:paraId="19BCC11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支持可执行POC、带参 POC和人工验证指南三种结果形态。</w:t>
      </w:r>
    </w:p>
    <w:p w14:paraId="729BA18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支持二次审核和依赖预检，提升生成结果的可用性。</w:t>
      </w:r>
    </w:p>
    <w:p w14:paraId="20E57C8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二、POC 统一管理</w:t>
      </w:r>
    </w:p>
    <w:p w14:paraId="0D9171E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生成结果自动保存到 POC 库，支持分类、搜索、查看、下载和删除。</w:t>
      </w:r>
      <w:bookmarkStart w:id="0" w:name="_GoBack"/>
      <w:bookmarkEnd w:id="0"/>
    </w:p>
    <w:p w14:paraId="4DBB115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保存漏洞类型、执行方式、验证方式、参数定义和说明信息，便于后续复用。</w:t>
      </w:r>
    </w:p>
    <w:p w14:paraId="705305E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三、漏洞验证执行</w:t>
      </w:r>
    </w:p>
    <w:p w14:paraId="5F505EC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支持输入目标 URL 后执行单条 POC 验证。</w:t>
      </w:r>
    </w:p>
    <w:p w14:paraId="37B1A05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支持直接验证、带参数验证和 OOB 带外验证。</w:t>
      </w:r>
    </w:p>
    <w:p w14:paraId="12FB0E1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统一展示是否存在漏洞、判断依据、详细信息和执行异常。</w:t>
      </w:r>
    </w:p>
    <w:p w14:paraId="28A4505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四、批量检测与记录</w:t>
      </w:r>
    </w:p>
    <w:p w14:paraId="284D40B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支持批量导入目标 URL，并选择多个 POC 创建批量检测任务。</w:t>
      </w:r>
    </w:p>
    <w:p w14:paraId="41A777C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支持任务进度查看、任务取消、子任务详情查看和检测记录管理。</w:t>
      </w:r>
    </w:p>
    <w:p w14:paraId="237F5E3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支持导出 HTML、JSON、TXT 格式检测报告。</w:t>
      </w:r>
    </w:p>
    <w:p w14:paraId="494AEBC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五、外部能力接入</w:t>
      </w:r>
    </w:p>
    <w:p w14:paraId="36043D7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兼容 Nuclei 扫描引擎，可查看模板、扫描</w:t>
      </w:r>
      <w:r>
        <w:rPr>
          <w:rFonts w:hint="eastAsia" w:cs="宋体"/>
          <w:lang w:val="en-US" w:eastAsia="zh-CN"/>
        </w:rPr>
        <w:t>验证和结果输出</w:t>
      </w:r>
      <w:r>
        <w:rPr>
          <w:rFonts w:hint="eastAsia" w:ascii="宋体" w:hAnsi="宋体" w:eastAsia="宋体" w:cs="宋体"/>
        </w:rPr>
        <w:t>。</w:t>
      </w:r>
    </w:p>
    <w:p w14:paraId="28DC8E8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 FOFA等空间测绘平台导入目标资产。</w:t>
      </w:r>
    </w:p>
    <w:p w14:paraId="1764CC9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支持配置大模型、OOB 服务和空间测绘接口。</w:t>
      </w:r>
    </w:p>
    <w:p w14:paraId="3F06E46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六、执行稳定性辅助</w:t>
      </w:r>
    </w:p>
    <w:p w14:paraId="00BC2EE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提供统一 HTTP Runtime 和 OOB Runtime，减少生成 POC 的环境差异。</w:t>
      </w:r>
    </w:p>
    <w:p w14:paraId="03D07F4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对网络异常、依赖缺失、代码错误、OOB 异常等失败原因进行结构化分类。</w:t>
      </w:r>
    </w:p>
    <w:p w14:paraId="586EC2C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643" w:firstLineChars="20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E95ED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具备研究能力</w:t>
      </w:r>
    </w:p>
    <w:p w14:paraId="02297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具备面向企业软件供应链的依赖漏洞触发性分析能力，可完成漏洞可触发性判定、跨依赖调用链与触发条件建模，并构造可复现的下游PoC测试用例，为企业提供可验证的漏洞风险</w:t>
      </w:r>
      <w:r>
        <w:rPr>
          <w:rFonts w:hint="eastAsia" w:cs="宋体"/>
          <w:lang w:val="en-US" w:eastAsia="zh-CN"/>
        </w:rPr>
        <w:t>报告</w:t>
      </w:r>
      <w:r>
        <w:rPr>
          <w:rFonts w:hint="eastAsia" w:ascii="宋体" w:hAnsi="宋体" w:eastAsia="宋体" w:cs="宋体"/>
        </w:rPr>
        <w:t>。</w:t>
      </w:r>
    </w:p>
    <w:p w14:paraId="799F8F6B">
      <w:pPr>
        <w:pStyle w:val="16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一</w:t>
      </w:r>
      <w:r>
        <w:rPr>
          <w:rFonts w:hint="eastAsia" w:ascii="宋体" w:hAnsi="宋体" w:eastAsia="宋体" w:cs="宋体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.依赖漏洞可触发性判定</w:t>
      </w:r>
    </w:p>
    <w:p w14:paraId="2BF5462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能从企业项目的依赖漏洞告警出发，判断漏洞是仅存在于依赖中、函数可达，还是能够在项目实际执行路径中被触发。</w:t>
      </w:r>
    </w:p>
    <w:p w14:paraId="458B7EFA">
      <w:pPr>
        <w:pStyle w:val="16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二</w:t>
      </w:r>
      <w:r>
        <w:rPr>
          <w:rFonts w:hint="eastAsia" w:ascii="宋体" w:hAnsi="宋体" w:eastAsia="宋体" w:cs="宋体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.跨依赖调用链与触发条件分析</w:t>
      </w:r>
    </w:p>
    <w:p w14:paraId="6F5C546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能分析业务代码、直接依赖、传递依赖到漏洞函数之间的调用关系，并建模参数状态、对象字段、输入格式、控制流和数据流约束。</w:t>
      </w:r>
    </w:p>
    <w:p w14:paraId="5F976AD8">
      <w:pPr>
        <w:pStyle w:val="16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三</w:t>
      </w:r>
      <w:r>
        <w:rPr>
          <w:rFonts w:hint="eastAsia" w:ascii="宋体" w:hAnsi="宋体" w:eastAsia="宋体" w:cs="宋体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.下游触发用例构造与证据输出</w:t>
      </w:r>
    </w:p>
    <w:p w14:paraId="55F3DBF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4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能基于上游漏洞样例和项目真实调用入口，构造PoC测试用例，并输出调用链、触发输入、异常行为。</w:t>
      </w:r>
    </w:p>
    <w:sectPr>
      <w:pgSz w:w="12240" w:h="15840"/>
      <w:pgMar w:top="1080" w:right="1200" w:bottom="1080" w:left="12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17BF"/>
    <w:rsid w:val="0029639D"/>
    <w:rsid w:val="00326F90"/>
    <w:rsid w:val="00AA1D8D"/>
    <w:rsid w:val="00B47730"/>
    <w:rsid w:val="00CB0664"/>
    <w:rsid w:val="00FC693F"/>
    <w:rsid w:val="1A677DD3"/>
    <w:rsid w:val="252052DF"/>
    <w:rsid w:val="31232B7B"/>
    <w:rsid w:val="37585FF4"/>
    <w:rsid w:val="44267CFD"/>
    <w:rsid w:val="520A1B5B"/>
    <w:rsid w:val="55273CE5"/>
    <w:rsid w:val="63431527"/>
    <w:rsid w:val="68534DEC"/>
    <w:rsid w:val="6EFB0EE1"/>
    <w:rsid w:val="72671444"/>
    <w:rsid w:val="7C05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788</Words>
  <Characters>881</Characters>
  <Lines>0</Lines>
  <Paragraphs>0</Paragraphs>
  <TotalTime>283</TotalTime>
  <ScaleCrop>false</ScaleCrop>
  <LinksUpToDate>false</LinksUpToDate>
  <CharactersWithSpaces>926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Dancing-Go</cp:lastModifiedBy>
  <dcterms:modified xsi:type="dcterms:W3CDTF">2026-05-08T10:07:56Z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eyJoZGlkIjoiOTBhMDU5OGFhY2FmMmEyMzdkZTkzZDAwMGEyYjVmZGMiLCJ1c2VySWQiOiIzNTExMTkwMTcifQ==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D1891FE99AE7419293BE00822CCECA56_12</vt:lpwstr>
  </property>
</Properties>
</file>