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8CE7" w14:textId="77777777"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eastAsia="Cambria" w:hAnsi="Century Gothic" w:cs="Cambria"/>
          <w:b/>
          <w:bCs/>
          <w:color w:val="000000" w:themeColor="text1"/>
          <w:sz w:val="32"/>
          <w:szCs w:val="32"/>
        </w:rPr>
        <w:t>Reproducing a Kinematic-Wave-Based Adaptive Transit Signal Priority Controller Optimised by a Genetic Algorithm</w:t>
      </w:r>
    </w:p>
    <w:p w14:paraId="558745FC" w14:textId="77777777" w:rsidR="001F7DE7" w:rsidRPr="00C66885" w:rsidRDefault="001F7DE7" w:rsidP="00FD20C3">
      <w:pPr>
        <w:spacing w:after="40" w:line="276" w:lineRule="auto"/>
        <w:jc w:val="both"/>
        <w:rPr>
          <w:rFonts w:ascii="Century Gothic" w:hAnsi="Century Gothic"/>
          <w:color w:val="000000" w:themeColor="text1"/>
        </w:rPr>
      </w:pPr>
      <w:r w:rsidRPr="00C66885">
        <w:rPr>
          <w:rFonts w:ascii="Century Gothic" w:hAnsi="Century Gothic"/>
          <w:b/>
          <w:bCs/>
          <w:color w:val="000000" w:themeColor="text1"/>
        </w:rPr>
        <w:t xml:space="preserve">Original article: </w:t>
      </w:r>
      <w:r w:rsidRPr="00C66885">
        <w:rPr>
          <w:rFonts w:ascii="Century Gothic" w:hAnsi="Century Gothic"/>
          <w:color w:val="000000" w:themeColor="text1"/>
        </w:rPr>
        <w:t xml:space="preserve">Behbahani, H., &amp; </w:t>
      </w:r>
      <w:proofErr w:type="spellStart"/>
      <w:r w:rsidRPr="00C66885">
        <w:rPr>
          <w:rFonts w:ascii="Century Gothic" w:hAnsi="Century Gothic"/>
          <w:color w:val="000000" w:themeColor="text1"/>
        </w:rPr>
        <w:t>Poorjafari</w:t>
      </w:r>
      <w:proofErr w:type="spellEnd"/>
      <w:r w:rsidRPr="00C66885">
        <w:rPr>
          <w:rFonts w:ascii="Century Gothic" w:hAnsi="Century Gothic"/>
          <w:color w:val="000000" w:themeColor="text1"/>
        </w:rPr>
        <w:t xml:space="preserve">, V. (2022). Proposing a kinematic wave-based adaptive transit signal priority control using genetic algorithm. </w:t>
      </w:r>
      <w:r w:rsidRPr="00C66885">
        <w:rPr>
          <w:rFonts w:ascii="Century Gothic" w:hAnsi="Century Gothic"/>
          <w:i/>
          <w:iCs/>
          <w:color w:val="000000" w:themeColor="text1"/>
        </w:rPr>
        <w:t>IET Intelligent Transport Systems, 17</w:t>
      </w:r>
      <w:r w:rsidRPr="00C66885">
        <w:rPr>
          <w:rFonts w:ascii="Century Gothic" w:hAnsi="Century Gothic"/>
          <w:color w:val="000000" w:themeColor="text1"/>
        </w:rPr>
        <w:t>(5), 912–928.</w:t>
      </w:r>
    </w:p>
    <w:p w14:paraId="77542A64" w14:textId="4C106126" w:rsidR="001F7DE7" w:rsidRPr="00C66885" w:rsidRDefault="001F7DE7" w:rsidP="00FD20C3">
      <w:pPr>
        <w:spacing w:after="40" w:line="276" w:lineRule="auto"/>
        <w:jc w:val="both"/>
        <w:rPr>
          <w:rFonts w:ascii="Century Gothic" w:hAnsi="Century Gothic"/>
          <w:color w:val="000000" w:themeColor="text1"/>
        </w:rPr>
      </w:pPr>
      <w:hyperlink r:id="rId7" w:history="1">
        <w:r w:rsidRPr="00C66885">
          <w:rPr>
            <w:rStyle w:val="Hyperlink"/>
            <w:rFonts w:ascii="Century Gothic" w:hAnsi="Century Gothic"/>
            <w:color w:val="000000" w:themeColor="text1"/>
            <w:u w:val="none"/>
          </w:rPr>
          <w:t>https://doi.org/10.1049/itr2.12316</w:t>
        </w:r>
      </w:hyperlink>
    </w:p>
    <w:p w14:paraId="4A650456" w14:textId="60A5A967" w:rsidR="001F7DE7" w:rsidRPr="00C66885" w:rsidRDefault="001F7DE7" w:rsidP="00FD20C3">
      <w:pPr>
        <w:pStyle w:val="Heading1"/>
        <w:spacing w:line="276" w:lineRule="auto"/>
        <w:jc w:val="both"/>
      </w:pPr>
      <w:r w:rsidRPr="00C66885">
        <w:t>1. Introduction and Article Summary</w:t>
      </w:r>
    </w:p>
    <w:p w14:paraId="20643175" w14:textId="77777777"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Adaptive Transit Signal Priority (TSP) seeks to reduce delay for public-transport (PT) vehicles at signalised intersections without unduly penalising general traffic. The reproduced article proposes KATC (a kinematic-wave-based adaptive transit-signal controller) that departs from conventional vehicle-based signal optimisation by minimising average passenger delay across both modes. By weighting each vehicle by its passenger occupancy, a fully loaded bus receives priority proportional to the number of people it carries rather than being treated as a single vehicle.</w:t>
      </w:r>
    </w:p>
    <w:p w14:paraId="3ECA23A8" w14:textId="6A362FCA"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 xml:space="preserve">KATC operates as a closed control loop with four elements: </w:t>
      </w:r>
      <w:r w:rsidR="0044106F" w:rsidRPr="00C66885">
        <w:rPr>
          <w:rFonts w:ascii="Century Gothic" w:hAnsi="Century Gothic"/>
          <w:color w:val="000000" w:themeColor="text1"/>
        </w:rPr>
        <w:t xml:space="preserve">(1) </w:t>
      </w:r>
      <w:r w:rsidRPr="00C66885">
        <w:rPr>
          <w:rFonts w:ascii="Century Gothic" w:hAnsi="Century Gothic"/>
          <w:color w:val="000000" w:themeColor="text1"/>
        </w:rPr>
        <w:t>a data layer that reads general-traffic demand and the position and occupancy of approaching PT vehicles</w:t>
      </w:r>
      <w:r w:rsidR="0044106F" w:rsidRPr="00C66885">
        <w:rPr>
          <w:rFonts w:ascii="Century Gothic" w:hAnsi="Century Gothic"/>
          <w:color w:val="000000" w:themeColor="text1"/>
        </w:rPr>
        <w:t xml:space="preserve">, (2) </w:t>
      </w:r>
      <w:r w:rsidRPr="00C66885">
        <w:rPr>
          <w:rFonts w:ascii="Century Gothic" w:hAnsi="Century Gothic"/>
          <w:color w:val="000000" w:themeColor="text1"/>
        </w:rPr>
        <w:t>a kinematic-wave delay model that predicts, for any candidate signal plan, the delay of both modes using shockwave analysis</w:t>
      </w:r>
      <w:r w:rsidR="0044106F" w:rsidRPr="00C66885">
        <w:rPr>
          <w:rFonts w:ascii="Century Gothic" w:hAnsi="Century Gothic"/>
          <w:color w:val="000000" w:themeColor="text1"/>
        </w:rPr>
        <w:t>, (3)</w:t>
      </w:r>
      <w:r w:rsidRPr="00C66885">
        <w:rPr>
          <w:rFonts w:ascii="Century Gothic" w:hAnsi="Century Gothic"/>
          <w:color w:val="000000" w:themeColor="text1"/>
        </w:rPr>
        <w:t xml:space="preserve"> a genetic algorithm (GA) that searches green-time splits and phase sequence to minimise average passenger delay</w:t>
      </w:r>
      <w:r w:rsidR="0044106F" w:rsidRPr="00C66885">
        <w:rPr>
          <w:rFonts w:ascii="Century Gothic" w:hAnsi="Century Gothic"/>
          <w:color w:val="000000" w:themeColor="text1"/>
        </w:rPr>
        <w:t xml:space="preserve">, </w:t>
      </w:r>
      <w:r w:rsidR="00F76FAA" w:rsidRPr="00C66885">
        <w:rPr>
          <w:rFonts w:ascii="Century Gothic" w:hAnsi="Century Gothic"/>
          <w:color w:val="000000" w:themeColor="text1"/>
        </w:rPr>
        <w:t xml:space="preserve">and </w:t>
      </w:r>
      <w:r w:rsidR="0044106F" w:rsidRPr="00C66885">
        <w:rPr>
          <w:rFonts w:ascii="Century Gothic" w:hAnsi="Century Gothic"/>
          <w:color w:val="000000" w:themeColor="text1"/>
        </w:rPr>
        <w:t>(4)</w:t>
      </w:r>
      <w:r w:rsidRPr="00C66885">
        <w:rPr>
          <w:rFonts w:ascii="Century Gothic" w:hAnsi="Century Gothic"/>
          <w:color w:val="000000" w:themeColor="text1"/>
        </w:rPr>
        <w:t xml:space="preserve"> an actuation layer that deploys the optimised plan. </w:t>
      </w:r>
      <w:r w:rsidR="00F76FAA" w:rsidRPr="00C66885">
        <w:rPr>
          <w:rFonts w:ascii="Century Gothic" w:hAnsi="Century Gothic"/>
          <w:color w:val="000000" w:themeColor="text1"/>
        </w:rPr>
        <w:t>The signal is re-</w:t>
      </w:r>
      <w:proofErr w:type="gramStart"/>
      <w:r w:rsidR="00F76FAA" w:rsidRPr="00C66885">
        <w:rPr>
          <w:rFonts w:ascii="Century Gothic" w:hAnsi="Century Gothic"/>
          <w:color w:val="000000" w:themeColor="text1"/>
        </w:rPr>
        <w:t>optimised</w:t>
      </w:r>
      <w:proofErr w:type="gramEnd"/>
      <w:r w:rsidR="00F76FAA" w:rsidRPr="00C66885">
        <w:rPr>
          <w:rFonts w:ascii="Century Gothic" w:hAnsi="Century Gothic"/>
          <w:color w:val="000000" w:themeColor="text1"/>
        </w:rPr>
        <w:t xml:space="preserve"> each cycle, planning over a three-cycle rolling horizon</w:t>
      </w:r>
      <w:r w:rsidRPr="00C66885">
        <w:rPr>
          <w:rFonts w:ascii="Century Gothic" w:hAnsi="Century Gothic"/>
          <w:color w:val="000000" w:themeColor="text1"/>
        </w:rPr>
        <w:t>. In its full form (KATC-2), which optimises both green times and phase sequence, the authors report reductions in average passenger delay relative to a vehicle-based SYNCHRO baseline and to a green-time-only variant (KATC-1), with the largest gains at low saturation and high PT occupancy.</w:t>
      </w:r>
    </w:p>
    <w:p w14:paraId="6BC6A8D0" w14:textId="0E7A690E"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 xml:space="preserve">This project reimplements the KATC method from scratch and evaluates whether its behaviour and reported improvements can be recreated. Consistent with reproduction studies generally, the objective is faithful reimplementation and an honest account of what reproduces and what does not, rather than an exact match of the original figures. </w:t>
      </w:r>
      <w:r w:rsidR="00125264" w:rsidRPr="00C66885">
        <w:rPr>
          <w:rFonts w:ascii="Century Gothic" w:hAnsi="Century Gothic"/>
          <w:color w:val="000000" w:themeColor="text1"/>
        </w:rPr>
        <w:t>a mathematical model that predicts traffic delay, and a genetic algorithm that searches for the best signal timing. No machine-learning, deep-learning, or reinforcement-learning techniques are involved</w:t>
      </w:r>
      <w:r w:rsidRPr="00C66885">
        <w:rPr>
          <w:rFonts w:ascii="Century Gothic" w:hAnsi="Century Gothic"/>
          <w:color w:val="000000" w:themeColor="text1"/>
        </w:rPr>
        <w:t>.</w:t>
      </w:r>
    </w:p>
    <w:p w14:paraId="3F472A06" w14:textId="77777777" w:rsidR="001F7DE7" w:rsidRPr="00C66885" w:rsidRDefault="001F7DE7" w:rsidP="00FD20C3">
      <w:pPr>
        <w:pStyle w:val="Heading1"/>
        <w:spacing w:line="276" w:lineRule="auto"/>
        <w:jc w:val="both"/>
      </w:pPr>
      <w:r w:rsidRPr="00C66885">
        <w:t>2. The Original Method</w:t>
      </w:r>
    </w:p>
    <w:p w14:paraId="282408C4" w14:textId="6DE234C7"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The delay model rests on a triangular fundamental diagram, from which queue-formation and queue-dissipation shockwave speeds are derived. For general traffic, queue length during red and the minimum green required to clear it</w:t>
      </w:r>
      <w:r w:rsidR="00634E24" w:rsidRPr="00C66885">
        <w:rPr>
          <w:rFonts w:ascii="Century Gothic" w:hAnsi="Century Gothic"/>
          <w:color w:val="000000" w:themeColor="text1"/>
        </w:rPr>
        <w:t>,</w:t>
      </w:r>
      <w:r w:rsidRPr="00C66885">
        <w:rPr>
          <w:rFonts w:ascii="Century Gothic" w:hAnsi="Century Gothic"/>
          <w:color w:val="000000" w:themeColor="text1"/>
        </w:rPr>
        <w:t xml:space="preserve"> determine whether a cycle is under</w:t>
      </w:r>
      <w:r w:rsidR="00F76FAA" w:rsidRPr="00C66885">
        <w:rPr>
          <w:rFonts w:ascii="Century Gothic" w:hAnsi="Century Gothic"/>
          <w:color w:val="000000" w:themeColor="text1"/>
        </w:rPr>
        <w:t>saturated</w:t>
      </w:r>
      <w:r w:rsidRPr="00C66885">
        <w:rPr>
          <w:rFonts w:ascii="Century Gothic" w:hAnsi="Century Gothic"/>
          <w:color w:val="000000" w:themeColor="text1"/>
        </w:rPr>
        <w:t xml:space="preserve"> or oversaturated</w:t>
      </w:r>
      <w:r w:rsidR="00F76FAA" w:rsidRPr="00C66885">
        <w:rPr>
          <w:rFonts w:ascii="Century Gothic" w:hAnsi="Century Gothic"/>
          <w:color w:val="000000" w:themeColor="text1"/>
        </w:rPr>
        <w:t>.</w:t>
      </w:r>
      <w:r w:rsidRPr="00C66885">
        <w:rPr>
          <w:rFonts w:ascii="Century Gothic" w:hAnsi="Century Gothic"/>
          <w:color w:val="000000" w:themeColor="text1"/>
        </w:rPr>
        <w:t xml:space="preserve"> </w:t>
      </w:r>
      <w:r w:rsidR="00F76FAA" w:rsidRPr="00C66885">
        <w:rPr>
          <w:rFonts w:ascii="Century Gothic" w:hAnsi="Century Gothic"/>
          <w:color w:val="000000" w:themeColor="text1"/>
        </w:rPr>
        <w:t>U</w:t>
      </w:r>
      <w:r w:rsidRPr="00C66885">
        <w:rPr>
          <w:rFonts w:ascii="Century Gothic" w:hAnsi="Century Gothic"/>
          <w:color w:val="000000" w:themeColor="text1"/>
        </w:rPr>
        <w:t>ndersaturated cycles incur a triangular queue-profile delay, while oversaturated cycles form a residual queue that carries into the next cycle. For PT vehicles, delay is computed by trajectory analysis across two cycles, giving four saturation cases each subdivided by the vehicle's arrival position. The two modal delays are combined into average passenger delay, which serves as the optimisation objective.</w:t>
      </w:r>
    </w:p>
    <w:p w14:paraId="0970FFDA" w14:textId="2E428B5D"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The optimiser is a genetic algorithm</w:t>
      </w:r>
      <w:r w:rsidR="00F76FAA" w:rsidRPr="00C66885">
        <w:rPr>
          <w:rFonts w:ascii="Century Gothic" w:hAnsi="Century Gothic"/>
          <w:color w:val="000000" w:themeColor="text1"/>
        </w:rPr>
        <w:t xml:space="preserve"> (GA)</w:t>
      </w:r>
      <w:r w:rsidRPr="00C66885">
        <w:rPr>
          <w:rFonts w:ascii="Century Gothic" w:hAnsi="Century Gothic"/>
          <w:color w:val="000000" w:themeColor="text1"/>
        </w:rPr>
        <w:t xml:space="preserve"> operating on a binary chromosome that encodes, per cycle, a two-bit phase-sequence variable and three six-bit coefficient factors distributing green time between major and minor movements. Over a three-cycle horizon the chromosome is sixty bits. The GA is configured with a population of 150, 150 generations, elitism, mask-based crossover, and adaptive mutation rising from 0.01 </w:t>
      </w:r>
      <w:r w:rsidRPr="00C66885">
        <w:rPr>
          <w:rFonts w:ascii="Century Gothic" w:hAnsi="Century Gothic"/>
          <w:color w:val="000000" w:themeColor="text1"/>
        </w:rPr>
        <w:lastRenderedPageBreak/>
        <w:t xml:space="preserve">to 0.02, with fitness defined as the inverse of average passenger delay. Signal plans are constrained so that phase lengths respect the cycle length, a minimum-green floor, and the </w:t>
      </w:r>
      <w:r w:rsidR="00F76FAA" w:rsidRPr="00C66885">
        <w:rPr>
          <w:rFonts w:ascii="Century Gothic" w:hAnsi="Century Gothic"/>
          <w:color w:val="000000" w:themeColor="text1"/>
        </w:rPr>
        <w:t>National Electrical Manufacturers Association (</w:t>
      </w:r>
      <w:r w:rsidRPr="00C66885">
        <w:rPr>
          <w:rFonts w:ascii="Century Gothic" w:hAnsi="Century Gothic"/>
          <w:color w:val="000000" w:themeColor="text1"/>
        </w:rPr>
        <w:t>NEMA</w:t>
      </w:r>
      <w:r w:rsidR="00F76FAA" w:rsidRPr="00C66885">
        <w:rPr>
          <w:rFonts w:ascii="Century Gothic" w:hAnsi="Century Gothic"/>
          <w:color w:val="000000" w:themeColor="text1"/>
        </w:rPr>
        <w:t>)</w:t>
      </w:r>
      <w:r w:rsidRPr="00C66885">
        <w:rPr>
          <w:rFonts w:ascii="Century Gothic" w:hAnsi="Century Gothic"/>
          <w:color w:val="000000" w:themeColor="text1"/>
        </w:rPr>
        <w:t xml:space="preserve"> dual-ring barrier.</w:t>
      </w:r>
    </w:p>
    <w:p w14:paraId="4F140DF5" w14:textId="77777777" w:rsidR="001F7DE7" w:rsidRPr="00C66885" w:rsidRDefault="001F7DE7" w:rsidP="00FD20C3">
      <w:pPr>
        <w:pStyle w:val="Heading1"/>
        <w:spacing w:line="276" w:lineRule="auto"/>
        <w:jc w:val="both"/>
      </w:pPr>
      <w:r w:rsidRPr="00C66885">
        <w:t>3. Reproduction Methodology</w:t>
      </w:r>
    </w:p>
    <w:p w14:paraId="4F685FF2" w14:textId="2E1C0CE6"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The method was rebuilt as six phases. Phases 1 and 2 form a simulator</w:t>
      </w:r>
      <w:r w:rsidR="00EE1AFC" w:rsidRPr="00C66885">
        <w:rPr>
          <w:rFonts w:ascii="Century Gothic" w:hAnsi="Century Gothic"/>
          <w:color w:val="000000" w:themeColor="text1"/>
        </w:rPr>
        <w:t xml:space="preserve"> </w:t>
      </w:r>
      <w:r w:rsidRPr="00C66885">
        <w:rPr>
          <w:rFonts w:ascii="Century Gothic" w:hAnsi="Century Gothic"/>
          <w:color w:val="000000" w:themeColor="text1"/>
        </w:rPr>
        <w:t>independent analytical core, validated by 37 automated unit tests</w:t>
      </w:r>
      <w:r w:rsidR="00EE1AFC" w:rsidRPr="00C66885">
        <w:rPr>
          <w:rFonts w:ascii="Century Gothic" w:hAnsi="Century Gothic"/>
          <w:color w:val="000000" w:themeColor="text1"/>
        </w:rPr>
        <w:t>.</w:t>
      </w:r>
      <w:r w:rsidRPr="00C66885">
        <w:rPr>
          <w:rFonts w:ascii="Century Gothic" w:hAnsi="Century Gothic"/>
          <w:color w:val="000000" w:themeColor="text1"/>
        </w:rPr>
        <w:t xml:space="preserve"> Phases 3 to 6 provide the simulation environment and evaluation.</w:t>
      </w:r>
    </w:p>
    <w:p w14:paraId="7235AEFD" w14:textId="77777777" w:rsidR="001F7DE7" w:rsidRPr="00C66885" w:rsidRDefault="001F7DE7" w:rsidP="00FD20C3">
      <w:pPr>
        <w:pStyle w:val="Heading2"/>
        <w:spacing w:line="276" w:lineRule="auto"/>
        <w:jc w:val="both"/>
        <w:rPr>
          <w:rFonts w:ascii="Century Gothic" w:hAnsi="Century Gothic"/>
          <w:color w:val="000000" w:themeColor="text1"/>
        </w:rPr>
      </w:pPr>
      <w:r w:rsidRPr="00C66885">
        <w:rPr>
          <w:rFonts w:ascii="Century Gothic" w:eastAsia="Cambria" w:hAnsi="Century Gothic" w:cs="Cambria"/>
          <w:b/>
          <w:bCs/>
          <w:color w:val="000000" w:themeColor="text1"/>
          <w:sz w:val="24"/>
          <w:szCs w:val="24"/>
        </w:rPr>
        <w:t>3.1 Kinematic-wave delay model</w:t>
      </w:r>
    </w:p>
    <w:p w14:paraId="10870537" w14:textId="4C351C92" w:rsidR="001F7DE7" w:rsidRPr="00C66885" w:rsidRDefault="004E71FA"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 xml:space="preserve">The delay model was implemented directly from the article's equations. To confirm accuracy, the equations were transcribed into LaTeX and checked against a rendered comparison of the originals. The article provides no worked numerical example, so the model was validated in two other ways. First, physical-consistency testing confirmed that delays are never negative, that they respond correctly to changes in green time, red time, and demand, and that residual queues form and carry over as expected. Second, </w:t>
      </w:r>
      <w:r w:rsidR="002F476D" w:rsidRPr="00C66885">
        <w:rPr>
          <w:rFonts w:ascii="Century Gothic" w:hAnsi="Century Gothic"/>
          <w:color w:val="000000" w:themeColor="text1"/>
        </w:rPr>
        <w:t xml:space="preserve">that </w:t>
      </w:r>
      <w:r w:rsidRPr="00C66885">
        <w:rPr>
          <w:rFonts w:ascii="Century Gothic" w:hAnsi="Century Gothic"/>
          <w:color w:val="000000" w:themeColor="text1"/>
        </w:rPr>
        <w:t>an internal identity holds</w:t>
      </w:r>
      <w:r w:rsidR="002F476D" w:rsidRPr="00C66885">
        <w:rPr>
          <w:rFonts w:ascii="Century Gothic" w:hAnsi="Century Gothic"/>
          <w:color w:val="000000" w:themeColor="text1"/>
        </w:rPr>
        <w:t>. T</w:t>
      </w:r>
      <w:r w:rsidRPr="00C66885">
        <w:rPr>
          <w:rFonts w:ascii="Century Gothic" w:hAnsi="Century Gothic"/>
          <w:color w:val="000000" w:themeColor="text1"/>
        </w:rPr>
        <w:t>he oversaturated queue-length equation reduces exactly to the undersaturated one when the residual vanishes. Because a transcription error in either equation would break this identity, it provides independent evidence that both were reproduced faithfully</w:t>
      </w:r>
      <w:r w:rsidR="001F7DE7" w:rsidRPr="00C66885">
        <w:rPr>
          <w:rFonts w:ascii="Century Gothic" w:hAnsi="Century Gothic"/>
          <w:color w:val="000000" w:themeColor="text1"/>
        </w:rPr>
        <w:t>.</w:t>
      </w:r>
    </w:p>
    <w:p w14:paraId="26DFD8A3" w14:textId="77777777" w:rsidR="001F7DE7" w:rsidRPr="00C66885" w:rsidRDefault="001F7DE7" w:rsidP="00FD20C3">
      <w:pPr>
        <w:pStyle w:val="Heading2"/>
        <w:spacing w:line="276" w:lineRule="auto"/>
        <w:jc w:val="both"/>
        <w:rPr>
          <w:rFonts w:ascii="Century Gothic" w:hAnsi="Century Gothic"/>
          <w:color w:val="000000" w:themeColor="text1"/>
        </w:rPr>
      </w:pPr>
      <w:r w:rsidRPr="00C66885">
        <w:rPr>
          <w:rFonts w:ascii="Century Gothic" w:eastAsia="Cambria" w:hAnsi="Century Gothic" w:cs="Cambria"/>
          <w:b/>
          <w:bCs/>
          <w:color w:val="000000" w:themeColor="text1"/>
          <w:sz w:val="24"/>
          <w:szCs w:val="24"/>
        </w:rPr>
        <w:t>3.2 Genetic-algorithm optimiser</w:t>
      </w:r>
    </w:p>
    <w:p w14:paraId="5E97983C" w14:textId="7520580C" w:rsidR="00AE0F89" w:rsidRPr="00C66885" w:rsidRDefault="00AE0F89"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We reproduced the GA using the article's settings and encoding. A separate set of unit tests checked that it worked correctly. These tests confirmed three things. First, a signal plan could be converted to a chromosome and back without any loss. Second, the GA always produced valid plans, even when given extreme input values. Third, it optimised correctly</w:t>
      </w:r>
      <w:r w:rsidR="008D3B73" w:rsidRPr="00C66885">
        <w:rPr>
          <w:rFonts w:ascii="Century Gothic" w:hAnsi="Century Gothic"/>
          <w:color w:val="000000" w:themeColor="text1"/>
        </w:rPr>
        <w:t>. T</w:t>
      </w:r>
      <w:r w:rsidRPr="00C66885">
        <w:rPr>
          <w:rFonts w:ascii="Century Gothic" w:hAnsi="Century Gothic"/>
          <w:color w:val="000000" w:themeColor="text1"/>
        </w:rPr>
        <w:t>he best solution never got worse over time, and the same starting seed always gave the same result.</w:t>
      </w:r>
    </w:p>
    <w:p w14:paraId="7486ADE4" w14:textId="2E16C314" w:rsidR="001F7DE7" w:rsidRPr="00C66885" w:rsidRDefault="00AE0F89"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We then connected the optimiser to the delay model and re-ran the article's preliminary test. On a representative scenario, the GA cut average passenger delay by about 46% compared with random signal plans, and it settled on its answer within roughly 25 generations</w:t>
      </w:r>
      <w:r w:rsidR="008D3B73" w:rsidRPr="00C66885">
        <w:rPr>
          <w:rFonts w:ascii="Century Gothic" w:hAnsi="Century Gothic"/>
          <w:color w:val="000000" w:themeColor="text1"/>
        </w:rPr>
        <w:t>, all</w:t>
      </w:r>
      <w:r w:rsidRPr="00C66885">
        <w:rPr>
          <w:rFonts w:ascii="Century Gothic" w:hAnsi="Century Gothic"/>
          <w:color w:val="000000" w:themeColor="text1"/>
        </w:rPr>
        <w:t xml:space="preserve"> in under three seconds (Figure 1). This matches the convergence the article reports. Because this test does not use the simulator, it is an early check that the analytical part of the system works as a whole</w:t>
      </w:r>
      <w:r w:rsidR="001F7DE7" w:rsidRPr="00C66885">
        <w:rPr>
          <w:rFonts w:ascii="Century Gothic" w:hAnsi="Century Gothic"/>
          <w:color w:val="000000" w:themeColor="text1"/>
        </w:rPr>
        <w:t>.</w:t>
      </w:r>
    </w:p>
    <w:p w14:paraId="6DCA0B5F" w14:textId="77777777" w:rsidR="001F7DE7" w:rsidRPr="00C66885" w:rsidRDefault="001F7DE7" w:rsidP="00FD20C3">
      <w:pPr>
        <w:spacing w:before="80" w:after="40" w:line="276" w:lineRule="auto"/>
        <w:jc w:val="center"/>
        <w:rPr>
          <w:rFonts w:ascii="Century Gothic" w:hAnsi="Century Gothic"/>
          <w:color w:val="000000" w:themeColor="text1"/>
        </w:rPr>
      </w:pPr>
      <w:r w:rsidRPr="00C66885">
        <w:rPr>
          <w:rFonts w:ascii="Century Gothic" w:hAnsi="Century Gothic"/>
          <w:noProof/>
          <w:color w:val="000000" w:themeColor="text1"/>
        </w:rPr>
        <w:drawing>
          <wp:inline distT="0" distB="0" distL="0" distR="0" wp14:anchorId="32F61B81" wp14:editId="3ACDF809">
            <wp:extent cx="3955521" cy="24765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67571" cy="2484045"/>
                    </a:xfrm>
                    <a:prstGeom prst="rect">
                      <a:avLst/>
                    </a:prstGeom>
                  </pic:spPr>
                </pic:pic>
              </a:graphicData>
            </a:graphic>
          </wp:inline>
        </w:drawing>
      </w:r>
    </w:p>
    <w:p w14:paraId="7B232BFA" w14:textId="77777777" w:rsidR="001F7DE7" w:rsidRPr="00C66885" w:rsidRDefault="001F7DE7" w:rsidP="00FD20C3">
      <w:pPr>
        <w:spacing w:after="160" w:line="276" w:lineRule="auto"/>
        <w:jc w:val="center"/>
        <w:rPr>
          <w:rFonts w:ascii="Century Gothic" w:hAnsi="Century Gothic"/>
          <w:color w:val="000000" w:themeColor="text1"/>
        </w:rPr>
      </w:pPr>
      <w:r w:rsidRPr="00C66885">
        <w:rPr>
          <w:rFonts w:ascii="Century Gothic" w:hAnsi="Century Gothic"/>
          <w:i/>
          <w:iCs/>
          <w:color w:val="000000" w:themeColor="text1"/>
          <w:sz w:val="18"/>
          <w:szCs w:val="18"/>
        </w:rPr>
        <w:t>Figure 1. Convergence of the reproduced genetic algorithm on the analytical delay model.</w:t>
      </w:r>
    </w:p>
    <w:p w14:paraId="0F5B0864" w14:textId="77777777" w:rsidR="001F7DE7" w:rsidRPr="00C66885" w:rsidRDefault="001F7DE7" w:rsidP="00FD20C3">
      <w:pPr>
        <w:pStyle w:val="Heading2"/>
        <w:spacing w:line="276" w:lineRule="auto"/>
        <w:jc w:val="both"/>
        <w:rPr>
          <w:rFonts w:ascii="Century Gothic" w:hAnsi="Century Gothic"/>
          <w:color w:val="000000" w:themeColor="text1"/>
        </w:rPr>
      </w:pPr>
      <w:r w:rsidRPr="00C66885">
        <w:rPr>
          <w:rFonts w:ascii="Century Gothic" w:eastAsia="Cambria" w:hAnsi="Century Gothic" w:cs="Cambria"/>
          <w:b/>
          <w:bCs/>
          <w:color w:val="000000" w:themeColor="text1"/>
          <w:sz w:val="24"/>
          <w:szCs w:val="24"/>
        </w:rPr>
        <w:t>3.3 Simulation environment</w:t>
      </w:r>
    </w:p>
    <w:p w14:paraId="325D8D77" w14:textId="3964D6BD" w:rsidR="001F7DE7" w:rsidRPr="00C66885" w:rsidRDefault="001F7DE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 xml:space="preserve">The controller was evaluated in SUMO, an open-source microscopic traffic simulator, coupled to the KATC controller through the </w:t>
      </w:r>
      <w:proofErr w:type="spellStart"/>
      <w:r w:rsidRPr="00C66885">
        <w:rPr>
          <w:rFonts w:ascii="Century Gothic" w:hAnsi="Century Gothic"/>
          <w:color w:val="000000" w:themeColor="text1"/>
        </w:rPr>
        <w:t>TraCI</w:t>
      </w:r>
      <w:proofErr w:type="spellEnd"/>
      <w:r w:rsidRPr="00C66885">
        <w:rPr>
          <w:rFonts w:ascii="Century Gothic" w:hAnsi="Century Gothic"/>
          <w:color w:val="000000" w:themeColor="text1"/>
        </w:rPr>
        <w:t xml:space="preserve"> interface. A four-legged intersection was constructed with two-lane major and </w:t>
      </w:r>
      <w:r w:rsidRPr="00C66885">
        <w:rPr>
          <w:rFonts w:ascii="Century Gothic" w:hAnsi="Century Gothic"/>
          <w:color w:val="000000" w:themeColor="text1"/>
        </w:rPr>
        <w:lastRenderedPageBreak/>
        <w:t xml:space="preserve">one-lane minor approaches, each with an exclusive left-turn lane, controlled by a full NEMA dual-ring eight-phase signal. Demand was generated with the article's turning proportions and eight PT routes with their specified headways, scalable by degree of saturation (DOS). </w:t>
      </w:r>
      <w:r w:rsidR="00EF137D" w:rsidRPr="00C66885">
        <w:rPr>
          <w:rFonts w:ascii="Century Gothic" w:hAnsi="Century Gothic"/>
          <w:color w:val="000000" w:themeColor="text1"/>
        </w:rPr>
        <w:t>Commencing</w:t>
      </w:r>
      <w:r w:rsidR="003767C4" w:rsidRPr="00C66885">
        <w:rPr>
          <w:rFonts w:ascii="Century Gothic" w:hAnsi="Century Gothic"/>
          <w:color w:val="000000" w:themeColor="text1"/>
        </w:rPr>
        <w:t xml:space="preserve"> e</w:t>
      </w:r>
      <w:r w:rsidRPr="00C66885">
        <w:rPr>
          <w:rFonts w:ascii="Century Gothic" w:hAnsi="Century Gothic"/>
          <w:color w:val="000000" w:themeColor="text1"/>
        </w:rPr>
        <w:t xml:space="preserve">ach cycle, the control loop reads traffic state and bus information, runs the KATC optimiser, writes the optimised NEMA plan back to the signal, and </w:t>
      </w:r>
      <w:r w:rsidR="0010398E" w:rsidRPr="00C66885">
        <w:rPr>
          <w:rFonts w:ascii="Century Gothic" w:hAnsi="Century Gothic"/>
          <w:color w:val="000000" w:themeColor="text1"/>
        </w:rPr>
        <w:t>runs a cycle</w:t>
      </w:r>
      <w:r w:rsidR="00EF137D" w:rsidRPr="00C66885">
        <w:rPr>
          <w:rFonts w:ascii="Century Gothic" w:hAnsi="Century Gothic"/>
          <w:color w:val="000000" w:themeColor="text1"/>
        </w:rPr>
        <w:t>,</w:t>
      </w:r>
      <w:r w:rsidRPr="00C66885">
        <w:rPr>
          <w:rFonts w:ascii="Century Gothic" w:hAnsi="Century Gothic"/>
          <w:color w:val="000000" w:themeColor="text1"/>
        </w:rPr>
        <w:t xml:space="preserve"> reproducing the read</w:t>
      </w:r>
      <w:r w:rsidR="00EF137D" w:rsidRPr="00C66885">
        <w:rPr>
          <w:rFonts w:ascii="Century Gothic" w:hAnsi="Century Gothic"/>
          <w:color w:val="000000" w:themeColor="text1"/>
        </w:rPr>
        <w:t xml:space="preserve"> </w:t>
      </w:r>
      <w:r w:rsidRPr="00C66885">
        <w:rPr>
          <w:rFonts w:ascii="Century Gothic" w:hAnsi="Century Gothic"/>
          <w:color w:val="000000" w:themeColor="text1"/>
        </w:rPr>
        <w:t>optimise</w:t>
      </w:r>
      <w:r w:rsidR="00EF137D" w:rsidRPr="00C66885">
        <w:rPr>
          <w:rFonts w:ascii="Century Gothic" w:hAnsi="Century Gothic"/>
          <w:color w:val="000000" w:themeColor="text1"/>
        </w:rPr>
        <w:t xml:space="preserve"> </w:t>
      </w:r>
      <w:r w:rsidRPr="00C66885">
        <w:rPr>
          <w:rFonts w:ascii="Century Gothic" w:hAnsi="Century Gothic"/>
          <w:color w:val="000000" w:themeColor="text1"/>
        </w:rPr>
        <w:t>actuate architecture of the original.</w:t>
      </w:r>
    </w:p>
    <w:p w14:paraId="4A08DD5B" w14:textId="77777777" w:rsidR="001F7DE7" w:rsidRPr="00C66885" w:rsidRDefault="001F7DE7" w:rsidP="00FD20C3">
      <w:pPr>
        <w:pStyle w:val="Heading2"/>
        <w:spacing w:line="276" w:lineRule="auto"/>
        <w:jc w:val="both"/>
        <w:rPr>
          <w:rFonts w:ascii="Century Gothic" w:hAnsi="Century Gothic"/>
          <w:color w:val="000000" w:themeColor="text1"/>
        </w:rPr>
      </w:pPr>
      <w:r w:rsidRPr="00C66885">
        <w:rPr>
          <w:rFonts w:ascii="Century Gothic" w:eastAsia="Cambria" w:hAnsi="Century Gothic" w:cs="Cambria"/>
          <w:b/>
          <w:bCs/>
          <w:color w:val="000000" w:themeColor="text1"/>
          <w:sz w:val="24"/>
          <w:szCs w:val="24"/>
        </w:rPr>
        <w:t>3.4 Controllers and experimental design</w:t>
      </w:r>
    </w:p>
    <w:p w14:paraId="5120BEB4" w14:textId="0C1B5B93" w:rsidR="001F7DE7" w:rsidRPr="00C66885" w:rsidRDefault="00C12C8D"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Three controllers were implemented:</w:t>
      </w:r>
      <w:r w:rsidR="00C37643" w:rsidRPr="00C66885">
        <w:rPr>
          <w:rFonts w:ascii="Century Gothic" w:hAnsi="Century Gothic"/>
          <w:color w:val="000000" w:themeColor="text1"/>
        </w:rPr>
        <w:t xml:space="preserve"> (1)</w:t>
      </w:r>
      <w:r w:rsidRPr="00C66885">
        <w:rPr>
          <w:rFonts w:ascii="Century Gothic" w:hAnsi="Century Gothic"/>
          <w:color w:val="000000" w:themeColor="text1"/>
        </w:rPr>
        <w:t xml:space="preserve"> KATC-2, which sets both green times and phase sequence</w:t>
      </w:r>
      <w:r w:rsidR="00C37643" w:rsidRPr="00C66885">
        <w:rPr>
          <w:rFonts w:ascii="Century Gothic" w:hAnsi="Century Gothic"/>
          <w:color w:val="000000" w:themeColor="text1"/>
        </w:rPr>
        <w:t>, (2</w:t>
      </w:r>
      <w:proofErr w:type="gramStart"/>
      <w:r w:rsidR="00C37643" w:rsidRPr="00C66885">
        <w:rPr>
          <w:rFonts w:ascii="Century Gothic" w:hAnsi="Century Gothic"/>
          <w:color w:val="000000" w:themeColor="text1"/>
        </w:rPr>
        <w:t xml:space="preserve">) </w:t>
      </w:r>
      <w:r w:rsidRPr="00C66885">
        <w:rPr>
          <w:rFonts w:ascii="Century Gothic" w:hAnsi="Century Gothic"/>
          <w:color w:val="000000" w:themeColor="text1"/>
        </w:rPr>
        <w:t xml:space="preserve"> KATC</w:t>
      </w:r>
      <w:proofErr w:type="gramEnd"/>
      <w:r w:rsidRPr="00C66885">
        <w:rPr>
          <w:rFonts w:ascii="Century Gothic" w:hAnsi="Century Gothic"/>
          <w:color w:val="000000" w:themeColor="text1"/>
        </w:rPr>
        <w:t>-1, which sets green times only and</w:t>
      </w:r>
      <w:r w:rsidR="00F93D5D" w:rsidRPr="00C66885">
        <w:rPr>
          <w:rFonts w:ascii="Century Gothic" w:hAnsi="Century Gothic"/>
          <w:color w:val="000000" w:themeColor="text1"/>
        </w:rPr>
        <w:t>, (3)</w:t>
      </w:r>
      <w:r w:rsidRPr="00C66885">
        <w:rPr>
          <w:rFonts w:ascii="Century Gothic" w:hAnsi="Century Gothic"/>
          <w:color w:val="000000" w:themeColor="text1"/>
        </w:rPr>
        <w:t xml:space="preserve"> a fixed-time baseline. The analytical delay model gives the same result regardless of phase sequence, so on its own</w:t>
      </w:r>
      <w:r w:rsidR="00F93D5D" w:rsidRPr="00C66885">
        <w:rPr>
          <w:rFonts w:ascii="Century Gothic" w:hAnsi="Century Gothic"/>
          <w:color w:val="000000" w:themeColor="text1"/>
        </w:rPr>
        <w:t>,</w:t>
      </w:r>
      <w:r w:rsidRPr="00C66885">
        <w:rPr>
          <w:rFonts w:ascii="Century Gothic" w:hAnsi="Century Gothic"/>
          <w:color w:val="000000" w:themeColor="text1"/>
        </w:rPr>
        <w:t xml:space="preserve"> it cannot tell KATC-2 apart from KATC-1. To make the two genuinely different, KATC-2 chooses its phase sequence from the bus delay actually measured in simulation. It does this with an epsilon-greedy strategy: most of the time it uses the option that has performed best so far</w:t>
      </w:r>
      <w:r w:rsidR="00980C75" w:rsidRPr="00C66885">
        <w:rPr>
          <w:rFonts w:ascii="Century Gothic" w:hAnsi="Century Gothic"/>
          <w:color w:val="000000" w:themeColor="text1"/>
        </w:rPr>
        <w:t>.</w:t>
      </w:r>
      <w:r w:rsidRPr="00C66885">
        <w:rPr>
          <w:rFonts w:ascii="Century Gothic" w:hAnsi="Century Gothic"/>
          <w:color w:val="000000" w:themeColor="text1"/>
        </w:rPr>
        <w:t xml:space="preserve"> </w:t>
      </w:r>
      <w:r w:rsidR="00980C75" w:rsidRPr="00C66885">
        <w:rPr>
          <w:rFonts w:ascii="Century Gothic" w:hAnsi="Century Gothic"/>
          <w:color w:val="000000" w:themeColor="text1"/>
        </w:rPr>
        <w:t>B</w:t>
      </w:r>
      <w:r w:rsidRPr="00C66885">
        <w:rPr>
          <w:rFonts w:ascii="Century Gothic" w:hAnsi="Century Gothic"/>
          <w:color w:val="000000" w:themeColor="text1"/>
        </w:rPr>
        <w:t>ut occasionally it tries an alternative to keep learning which is truly best. The experiment follows the original design. Seven saturation levels (DOS 0.4 to 1.0) were crossed with five PT-occupancy levels (20 to 60), across the three controllers, giving 105 one-hour scenarios, each with a two-cycle warm-up</w:t>
      </w:r>
      <w:r w:rsidR="001F7DE7" w:rsidRPr="00C66885">
        <w:rPr>
          <w:rFonts w:ascii="Century Gothic" w:hAnsi="Century Gothic"/>
          <w:color w:val="000000" w:themeColor="text1"/>
        </w:rPr>
        <w:t>.</w:t>
      </w:r>
    </w:p>
    <w:p w14:paraId="7040E6A4" w14:textId="5C47F471" w:rsidR="001F7DE7" w:rsidRPr="00C66885" w:rsidRDefault="001F7DE7" w:rsidP="00FD20C3">
      <w:pPr>
        <w:pStyle w:val="Heading1"/>
        <w:spacing w:line="276" w:lineRule="auto"/>
        <w:jc w:val="both"/>
      </w:pPr>
      <w:r w:rsidRPr="00C66885">
        <w:t>4. Deviations from the Original</w:t>
      </w:r>
    </w:p>
    <w:p w14:paraId="22146F35" w14:textId="2DECC2DB" w:rsidR="00286317" w:rsidRPr="00C66885" w:rsidRDefault="00D927AF" w:rsidP="00FD20C3">
      <w:pPr>
        <w:spacing w:after="60" w:line="276" w:lineRule="auto"/>
        <w:jc w:val="both"/>
        <w:rPr>
          <w:rFonts w:ascii="Century Gothic" w:hAnsi="Century Gothic"/>
          <w:color w:val="000000" w:themeColor="text1"/>
        </w:rPr>
      </w:pPr>
      <w:r w:rsidRPr="00C66885">
        <w:rPr>
          <w:rFonts w:ascii="Century Gothic" w:hAnsi="Century Gothic"/>
          <w:color w:val="000000" w:themeColor="text1"/>
        </w:rPr>
        <w:t xml:space="preserve">Several deviations from the original were necessary. Each one limits how directly our results can be compared with the </w:t>
      </w:r>
      <w:r w:rsidR="00286317" w:rsidRPr="00C66885">
        <w:rPr>
          <w:rFonts w:ascii="Century Gothic" w:hAnsi="Century Gothic"/>
          <w:color w:val="000000" w:themeColor="text1"/>
        </w:rPr>
        <w:t>articles. They are as follows:</w:t>
      </w:r>
    </w:p>
    <w:p w14:paraId="2E60B5B4" w14:textId="357DA6CF" w:rsidR="001F7DE7" w:rsidRPr="00C66885" w:rsidRDefault="001F7DE7" w:rsidP="00FD20C3">
      <w:pPr>
        <w:pStyle w:val="ListParagraph"/>
        <w:numPr>
          <w:ilvl w:val="0"/>
          <w:numId w:val="1"/>
        </w:numPr>
        <w:spacing w:after="60" w:line="276" w:lineRule="auto"/>
        <w:contextualSpacing w:val="0"/>
        <w:jc w:val="both"/>
        <w:rPr>
          <w:rFonts w:ascii="Century Gothic" w:hAnsi="Century Gothic"/>
          <w:color w:val="000000" w:themeColor="text1"/>
        </w:rPr>
      </w:pPr>
      <w:r w:rsidRPr="00C66885">
        <w:rPr>
          <w:rFonts w:ascii="Century Gothic" w:hAnsi="Century Gothic"/>
          <w:b/>
          <w:bCs/>
          <w:color w:val="000000" w:themeColor="text1"/>
        </w:rPr>
        <w:t xml:space="preserve">Simulator. </w:t>
      </w:r>
      <w:r w:rsidR="00344318" w:rsidRPr="00C66885">
        <w:rPr>
          <w:rFonts w:ascii="Century Gothic" w:hAnsi="Century Gothic"/>
          <w:color w:val="000000" w:themeColor="text1"/>
        </w:rPr>
        <w:t xml:space="preserve">The original runs KATC in VISSIM, a commercial simulator. We used SUMO instead, because the free VISSIM trial disables the control interface that KATC depends on. Our </w:t>
      </w:r>
      <w:r w:rsidR="0003409F" w:rsidRPr="00C66885">
        <w:rPr>
          <w:rFonts w:ascii="Century Gothic" w:hAnsi="Century Gothic"/>
          <w:color w:val="000000" w:themeColor="text1"/>
        </w:rPr>
        <w:t>aim therefore</w:t>
      </w:r>
      <w:r w:rsidR="00344318" w:rsidRPr="00C66885">
        <w:rPr>
          <w:rFonts w:ascii="Century Gothic" w:hAnsi="Century Gothic"/>
          <w:color w:val="000000" w:themeColor="text1"/>
        </w:rPr>
        <w:t xml:space="preserve"> </w:t>
      </w:r>
      <w:r w:rsidR="00254B6C" w:rsidRPr="00C66885">
        <w:rPr>
          <w:rFonts w:ascii="Century Gothic" w:hAnsi="Century Gothic"/>
          <w:color w:val="000000" w:themeColor="text1"/>
        </w:rPr>
        <w:t>was to</w:t>
      </w:r>
      <w:r w:rsidR="00344318" w:rsidRPr="00C66885">
        <w:rPr>
          <w:rFonts w:ascii="Century Gothic" w:hAnsi="Century Gothic"/>
          <w:color w:val="000000" w:themeColor="text1"/>
        </w:rPr>
        <w:t xml:space="preserve"> reproduc</w:t>
      </w:r>
      <w:r w:rsidR="00254B6C" w:rsidRPr="00C66885">
        <w:rPr>
          <w:rFonts w:ascii="Century Gothic" w:hAnsi="Century Gothic"/>
          <w:color w:val="000000" w:themeColor="text1"/>
        </w:rPr>
        <w:t>e</w:t>
      </w:r>
      <w:r w:rsidR="00344318" w:rsidRPr="00C66885">
        <w:rPr>
          <w:rFonts w:ascii="Century Gothic" w:hAnsi="Century Gothic"/>
          <w:color w:val="000000" w:themeColor="text1"/>
        </w:rPr>
        <w:t xml:space="preserve"> the method's behaviour and general trends</w:t>
      </w:r>
    </w:p>
    <w:p w14:paraId="4F2785EB" w14:textId="2D61FB5B" w:rsidR="001F7DE7" w:rsidRPr="00C66885" w:rsidRDefault="001F7DE7" w:rsidP="00FD20C3">
      <w:pPr>
        <w:pStyle w:val="ListParagraph"/>
        <w:numPr>
          <w:ilvl w:val="0"/>
          <w:numId w:val="1"/>
        </w:numPr>
        <w:spacing w:after="60" w:line="276" w:lineRule="auto"/>
        <w:contextualSpacing w:val="0"/>
        <w:jc w:val="both"/>
        <w:rPr>
          <w:rFonts w:ascii="Century Gothic" w:hAnsi="Century Gothic"/>
          <w:color w:val="000000" w:themeColor="text1"/>
        </w:rPr>
      </w:pPr>
      <w:r w:rsidRPr="00C66885">
        <w:rPr>
          <w:rFonts w:ascii="Century Gothic" w:hAnsi="Century Gothic"/>
          <w:b/>
          <w:bCs/>
          <w:color w:val="000000" w:themeColor="text1"/>
        </w:rPr>
        <w:t xml:space="preserve">Baseline. </w:t>
      </w:r>
      <w:r w:rsidRPr="00C66885">
        <w:rPr>
          <w:rFonts w:ascii="Century Gothic" w:hAnsi="Century Gothic"/>
          <w:color w:val="000000" w:themeColor="text1"/>
        </w:rPr>
        <w:t>SYNCHRO, a commercial package, was unavailable</w:t>
      </w:r>
      <w:r w:rsidR="002B73F8" w:rsidRPr="00C66885">
        <w:rPr>
          <w:rFonts w:ascii="Century Gothic" w:hAnsi="Century Gothic"/>
          <w:color w:val="000000" w:themeColor="text1"/>
        </w:rPr>
        <w:t xml:space="preserve">. </w:t>
      </w:r>
      <w:r w:rsidR="00137DE6" w:rsidRPr="00C66885">
        <w:rPr>
          <w:rFonts w:ascii="Century Gothic" w:hAnsi="Century Gothic"/>
          <w:color w:val="000000" w:themeColor="text1"/>
        </w:rPr>
        <w:t>A</w:t>
      </w:r>
      <w:r w:rsidRPr="00C66885">
        <w:rPr>
          <w:rFonts w:ascii="Century Gothic" w:hAnsi="Century Gothic"/>
          <w:color w:val="000000" w:themeColor="text1"/>
        </w:rPr>
        <w:t xml:space="preserve"> fixed-time Webster-style plan was used as the vehicle-based baselin</w:t>
      </w:r>
      <w:r w:rsidR="003F445C" w:rsidRPr="00C66885">
        <w:rPr>
          <w:rFonts w:ascii="Century Gothic" w:hAnsi="Century Gothic"/>
          <w:color w:val="000000" w:themeColor="text1"/>
        </w:rPr>
        <w:t>e</w:t>
      </w:r>
      <w:r w:rsidRPr="00C66885">
        <w:rPr>
          <w:rFonts w:ascii="Century Gothic" w:hAnsi="Century Gothic"/>
          <w:color w:val="000000" w:themeColor="text1"/>
        </w:rPr>
        <w:t>.</w:t>
      </w:r>
    </w:p>
    <w:p w14:paraId="3A4965CF" w14:textId="49628B59" w:rsidR="001F7DE7" w:rsidRPr="00C66885" w:rsidRDefault="001F7DE7" w:rsidP="00FD20C3">
      <w:pPr>
        <w:pStyle w:val="ListParagraph"/>
        <w:numPr>
          <w:ilvl w:val="0"/>
          <w:numId w:val="1"/>
        </w:numPr>
        <w:spacing w:after="60" w:line="276" w:lineRule="auto"/>
        <w:contextualSpacing w:val="0"/>
        <w:jc w:val="both"/>
        <w:rPr>
          <w:rFonts w:ascii="Century Gothic" w:hAnsi="Century Gothic"/>
          <w:color w:val="000000" w:themeColor="text1"/>
        </w:rPr>
      </w:pPr>
      <w:r w:rsidRPr="00C66885">
        <w:rPr>
          <w:rFonts w:ascii="Century Gothic" w:hAnsi="Century Gothic"/>
          <w:b/>
          <w:bCs/>
          <w:color w:val="000000" w:themeColor="text1"/>
        </w:rPr>
        <w:t xml:space="preserve">Coefficient-factor mapping. </w:t>
      </w:r>
      <w:r w:rsidRPr="00C66885">
        <w:rPr>
          <w:rFonts w:ascii="Century Gothic" w:hAnsi="Century Gothic"/>
          <w:color w:val="000000" w:themeColor="text1"/>
        </w:rPr>
        <w:t>The article does not publish the exact mapping from the three coefficient factors to the eight NEMA movements; a dual-ring</w:t>
      </w:r>
      <w:r w:rsidR="008038DC" w:rsidRPr="00C66885">
        <w:rPr>
          <w:rFonts w:ascii="Century Gothic" w:hAnsi="Century Gothic"/>
          <w:color w:val="000000" w:themeColor="text1"/>
        </w:rPr>
        <w:t xml:space="preserve"> </w:t>
      </w:r>
      <w:r w:rsidRPr="00C66885">
        <w:rPr>
          <w:rFonts w:ascii="Century Gothic" w:hAnsi="Century Gothic"/>
          <w:color w:val="000000" w:themeColor="text1"/>
        </w:rPr>
        <w:t>consistent interpretation was adopte</w:t>
      </w:r>
      <w:r w:rsidR="008038DC" w:rsidRPr="00C66885">
        <w:rPr>
          <w:rFonts w:ascii="Century Gothic" w:hAnsi="Century Gothic"/>
          <w:color w:val="000000" w:themeColor="text1"/>
        </w:rPr>
        <w:t>d</w:t>
      </w:r>
      <w:r w:rsidRPr="00C66885">
        <w:rPr>
          <w:rFonts w:ascii="Century Gothic" w:hAnsi="Century Gothic"/>
          <w:color w:val="000000" w:themeColor="text1"/>
        </w:rPr>
        <w:t>.</w:t>
      </w:r>
    </w:p>
    <w:p w14:paraId="2CD37D15" w14:textId="0E980285" w:rsidR="001F7DE7" w:rsidRPr="00C66885" w:rsidRDefault="001F7DE7" w:rsidP="00FD20C3">
      <w:pPr>
        <w:pStyle w:val="ListParagraph"/>
        <w:numPr>
          <w:ilvl w:val="0"/>
          <w:numId w:val="1"/>
        </w:numPr>
        <w:spacing w:after="60" w:line="276" w:lineRule="auto"/>
        <w:contextualSpacing w:val="0"/>
        <w:jc w:val="both"/>
        <w:rPr>
          <w:rFonts w:ascii="Century Gothic" w:hAnsi="Century Gothic"/>
          <w:color w:val="000000" w:themeColor="text1"/>
        </w:rPr>
      </w:pPr>
      <w:r w:rsidRPr="00C66885">
        <w:rPr>
          <w:rFonts w:ascii="Century Gothic" w:hAnsi="Century Gothic"/>
          <w:b/>
          <w:bCs/>
          <w:color w:val="000000" w:themeColor="text1"/>
        </w:rPr>
        <w:t xml:space="preserve">Phase sequence. </w:t>
      </w:r>
      <w:r w:rsidR="00155998" w:rsidRPr="00C66885">
        <w:rPr>
          <w:rFonts w:ascii="Century Gothic" w:hAnsi="Century Gothic"/>
          <w:color w:val="000000" w:themeColor="text1"/>
        </w:rPr>
        <w:t>Phase</w:t>
      </w:r>
      <w:r w:rsidRPr="00C66885">
        <w:rPr>
          <w:rFonts w:ascii="Century Gothic" w:hAnsi="Century Gothic"/>
          <w:color w:val="000000" w:themeColor="text1"/>
        </w:rPr>
        <w:t xml:space="preserve"> sequence was resolved from simulation measurements because the analytical model does not depend on it.</w:t>
      </w:r>
    </w:p>
    <w:p w14:paraId="48726206" w14:textId="77777777" w:rsidR="001F7DE7" w:rsidRPr="00C66885" w:rsidRDefault="001F7DE7" w:rsidP="00FD20C3">
      <w:pPr>
        <w:pStyle w:val="Heading1"/>
        <w:spacing w:line="276" w:lineRule="auto"/>
      </w:pPr>
      <w:r w:rsidRPr="00C66885">
        <w:t>5. Results</w:t>
      </w:r>
    </w:p>
    <w:p w14:paraId="67276063" w14:textId="3E29E739" w:rsidR="001F7DE7" w:rsidRPr="00C66885" w:rsidRDefault="009F72A4"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Table 1 reports the mean average passenger delay for each controller at each DOS level, averaged over PT occupancy. Two observations were made. First, our delay values (roughly 140 to 235 seconds per passenger) are much higher than the article's range of about 35 to 47 seconds per passenger. This gap is expected</w:t>
      </w:r>
      <w:r w:rsidR="00883C41" w:rsidRPr="00C66885">
        <w:rPr>
          <w:rFonts w:ascii="Century Gothic" w:hAnsi="Century Gothic"/>
          <w:color w:val="000000" w:themeColor="text1"/>
        </w:rPr>
        <w:t>.</w:t>
      </w:r>
      <w:r w:rsidRPr="00C66885">
        <w:rPr>
          <w:rFonts w:ascii="Century Gothic" w:hAnsi="Century Gothic"/>
          <w:color w:val="000000" w:themeColor="text1"/>
        </w:rPr>
        <w:t xml:space="preserve"> SUMO measures delay differently from VISSIM and models driver behaviour differently, </w:t>
      </w:r>
      <w:r w:rsidR="009149EE" w:rsidRPr="00C66885">
        <w:rPr>
          <w:rFonts w:ascii="Century Gothic" w:hAnsi="Century Gothic"/>
          <w:color w:val="000000" w:themeColor="text1"/>
        </w:rPr>
        <w:t>so an exact match of the numbers was not expected</w:t>
      </w:r>
      <w:r w:rsidR="007C55D9" w:rsidRPr="00C66885">
        <w:rPr>
          <w:rFonts w:ascii="Century Gothic" w:hAnsi="Century Gothic"/>
          <w:color w:val="000000" w:themeColor="text1"/>
        </w:rPr>
        <w:t xml:space="preserve">, </w:t>
      </w:r>
      <w:r w:rsidRPr="00C66885">
        <w:rPr>
          <w:rFonts w:ascii="Century Gothic" w:hAnsi="Century Gothic"/>
          <w:color w:val="000000" w:themeColor="text1"/>
        </w:rPr>
        <w:t>after switching simulators. Second, no single controller ranks best across all saturation levels</w:t>
      </w:r>
      <w:r w:rsidR="001F7DE7" w:rsidRPr="00C66885">
        <w:rPr>
          <w:rFonts w:ascii="Century Gothic" w:hAnsi="Century Gothic"/>
          <w:color w:val="000000" w:themeColor="text1"/>
        </w:rPr>
        <w:t>.</w:t>
      </w:r>
    </w:p>
    <w:p w14:paraId="6CA9987E" w14:textId="77777777" w:rsidR="001F7DE7" w:rsidRPr="00C66885" w:rsidRDefault="001F7DE7" w:rsidP="00FD20C3">
      <w:pPr>
        <w:spacing w:before="60" w:after="60" w:line="276" w:lineRule="auto"/>
        <w:rPr>
          <w:rFonts w:ascii="Century Gothic" w:hAnsi="Century Gothic"/>
          <w:color w:val="000000" w:themeColor="text1"/>
        </w:rPr>
      </w:pPr>
      <w:r w:rsidRPr="00C66885">
        <w:rPr>
          <w:rFonts w:ascii="Century Gothic" w:hAnsi="Century Gothic"/>
          <w:i/>
          <w:iCs/>
          <w:color w:val="000000" w:themeColor="text1"/>
          <w:sz w:val="19"/>
          <w:szCs w:val="19"/>
        </w:rPr>
        <w:t>Table 1. Mean average passenger delay (s/passenger) by DOS and controller.</w:t>
      </w:r>
    </w:p>
    <w:tbl>
      <w:tblPr>
        <w:tblW w:w="10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3039"/>
        <w:gridCol w:w="3039"/>
        <w:gridCol w:w="3039"/>
      </w:tblGrid>
      <w:tr w:rsidR="00C66885" w:rsidRPr="00C66885" w14:paraId="5CE45044" w14:textId="77777777" w:rsidTr="004C205C">
        <w:trPr>
          <w:trHeight w:val="20"/>
          <w:tblHeader/>
        </w:trPr>
        <w:tc>
          <w:tcPr>
            <w:tcW w:w="1636" w:type="dxa"/>
            <w:shd w:val="clear" w:color="auto" w:fill="000000" w:themeFill="text1"/>
            <w:tcMar>
              <w:top w:w="60" w:type="dxa"/>
              <w:left w:w="100" w:type="dxa"/>
              <w:bottom w:w="60" w:type="dxa"/>
              <w:right w:w="100" w:type="dxa"/>
            </w:tcMar>
          </w:tcPr>
          <w:p w14:paraId="414C1482" w14:textId="77777777" w:rsidR="001F7DE7" w:rsidRPr="00C66885" w:rsidRDefault="001F7DE7" w:rsidP="00FD20C3">
            <w:pPr>
              <w:spacing w:line="276" w:lineRule="auto"/>
              <w:rPr>
                <w:rFonts w:ascii="Century Gothic" w:hAnsi="Century Gothic"/>
                <w:color w:val="000000" w:themeColor="text1"/>
              </w:rPr>
            </w:pPr>
            <w:r w:rsidRPr="00C66885">
              <w:rPr>
                <w:rFonts w:ascii="Century Gothic" w:hAnsi="Century Gothic"/>
                <w:b/>
                <w:bCs/>
                <w:color w:val="000000" w:themeColor="text1"/>
                <w:sz w:val="19"/>
                <w:szCs w:val="19"/>
              </w:rPr>
              <w:t>DOS</w:t>
            </w:r>
          </w:p>
        </w:tc>
        <w:tc>
          <w:tcPr>
            <w:tcW w:w="3039" w:type="dxa"/>
            <w:shd w:val="clear" w:color="auto" w:fill="000000" w:themeFill="text1"/>
            <w:tcMar>
              <w:top w:w="60" w:type="dxa"/>
              <w:left w:w="100" w:type="dxa"/>
              <w:bottom w:w="60" w:type="dxa"/>
              <w:right w:w="100" w:type="dxa"/>
            </w:tcMar>
          </w:tcPr>
          <w:p w14:paraId="1EBB8716"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b/>
                <w:bCs/>
                <w:color w:val="000000" w:themeColor="text1"/>
                <w:sz w:val="19"/>
                <w:szCs w:val="19"/>
              </w:rPr>
              <w:t>Fixed-time</w:t>
            </w:r>
          </w:p>
        </w:tc>
        <w:tc>
          <w:tcPr>
            <w:tcW w:w="3039" w:type="dxa"/>
            <w:shd w:val="clear" w:color="auto" w:fill="000000" w:themeFill="text1"/>
            <w:tcMar>
              <w:top w:w="60" w:type="dxa"/>
              <w:left w:w="100" w:type="dxa"/>
              <w:bottom w:w="60" w:type="dxa"/>
              <w:right w:w="100" w:type="dxa"/>
            </w:tcMar>
          </w:tcPr>
          <w:p w14:paraId="1B3A11E3"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b/>
                <w:bCs/>
                <w:color w:val="000000" w:themeColor="text1"/>
                <w:sz w:val="19"/>
                <w:szCs w:val="19"/>
              </w:rPr>
              <w:t>KATC-1</w:t>
            </w:r>
          </w:p>
        </w:tc>
        <w:tc>
          <w:tcPr>
            <w:tcW w:w="3039" w:type="dxa"/>
            <w:shd w:val="clear" w:color="auto" w:fill="000000" w:themeFill="text1"/>
            <w:tcMar>
              <w:top w:w="60" w:type="dxa"/>
              <w:left w:w="100" w:type="dxa"/>
              <w:bottom w:w="60" w:type="dxa"/>
              <w:right w:w="100" w:type="dxa"/>
            </w:tcMar>
          </w:tcPr>
          <w:p w14:paraId="1DCD0277"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b/>
                <w:bCs/>
                <w:color w:val="000000" w:themeColor="text1"/>
                <w:sz w:val="19"/>
                <w:szCs w:val="19"/>
              </w:rPr>
              <w:t>KATC-2</w:t>
            </w:r>
          </w:p>
        </w:tc>
      </w:tr>
      <w:tr w:rsidR="00C66885" w:rsidRPr="00C66885" w14:paraId="79FDF0A2" w14:textId="77777777" w:rsidTr="00282C22">
        <w:trPr>
          <w:trHeight w:val="20"/>
        </w:trPr>
        <w:tc>
          <w:tcPr>
            <w:tcW w:w="1636" w:type="dxa"/>
            <w:tcMar>
              <w:top w:w="60" w:type="dxa"/>
              <w:left w:w="100" w:type="dxa"/>
              <w:bottom w:w="60" w:type="dxa"/>
              <w:right w:w="100" w:type="dxa"/>
            </w:tcMar>
            <w:vAlign w:val="center"/>
          </w:tcPr>
          <w:p w14:paraId="3DE83405"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0.4</w:t>
            </w:r>
          </w:p>
        </w:tc>
        <w:tc>
          <w:tcPr>
            <w:tcW w:w="3039" w:type="dxa"/>
            <w:tcMar>
              <w:top w:w="60" w:type="dxa"/>
              <w:left w:w="100" w:type="dxa"/>
              <w:bottom w:w="60" w:type="dxa"/>
              <w:right w:w="100" w:type="dxa"/>
            </w:tcMar>
            <w:vAlign w:val="center"/>
          </w:tcPr>
          <w:p w14:paraId="10206C33"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162.7</w:t>
            </w:r>
          </w:p>
        </w:tc>
        <w:tc>
          <w:tcPr>
            <w:tcW w:w="3039" w:type="dxa"/>
            <w:tcMar>
              <w:top w:w="60" w:type="dxa"/>
              <w:left w:w="100" w:type="dxa"/>
              <w:bottom w:w="60" w:type="dxa"/>
              <w:right w:w="100" w:type="dxa"/>
            </w:tcMar>
            <w:vAlign w:val="center"/>
          </w:tcPr>
          <w:p w14:paraId="46E3A5D6"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184.4</w:t>
            </w:r>
          </w:p>
        </w:tc>
        <w:tc>
          <w:tcPr>
            <w:tcW w:w="3039" w:type="dxa"/>
            <w:tcMar>
              <w:top w:w="60" w:type="dxa"/>
              <w:left w:w="100" w:type="dxa"/>
              <w:bottom w:w="60" w:type="dxa"/>
              <w:right w:w="100" w:type="dxa"/>
            </w:tcMar>
            <w:vAlign w:val="center"/>
          </w:tcPr>
          <w:p w14:paraId="265DDD42"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146.7</w:t>
            </w:r>
          </w:p>
        </w:tc>
      </w:tr>
      <w:tr w:rsidR="00C66885" w:rsidRPr="00C66885" w14:paraId="5DF30497" w14:textId="77777777" w:rsidTr="00282C22">
        <w:trPr>
          <w:trHeight w:val="20"/>
        </w:trPr>
        <w:tc>
          <w:tcPr>
            <w:tcW w:w="1636" w:type="dxa"/>
            <w:tcMar>
              <w:top w:w="60" w:type="dxa"/>
              <w:left w:w="100" w:type="dxa"/>
              <w:bottom w:w="60" w:type="dxa"/>
              <w:right w:w="100" w:type="dxa"/>
            </w:tcMar>
            <w:vAlign w:val="center"/>
          </w:tcPr>
          <w:p w14:paraId="1E0577E1"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0.5</w:t>
            </w:r>
          </w:p>
        </w:tc>
        <w:tc>
          <w:tcPr>
            <w:tcW w:w="3039" w:type="dxa"/>
            <w:tcMar>
              <w:top w:w="60" w:type="dxa"/>
              <w:left w:w="100" w:type="dxa"/>
              <w:bottom w:w="60" w:type="dxa"/>
              <w:right w:w="100" w:type="dxa"/>
            </w:tcMar>
            <w:vAlign w:val="center"/>
          </w:tcPr>
          <w:p w14:paraId="52D4C47C"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160.2</w:t>
            </w:r>
          </w:p>
        </w:tc>
        <w:tc>
          <w:tcPr>
            <w:tcW w:w="3039" w:type="dxa"/>
            <w:tcMar>
              <w:top w:w="60" w:type="dxa"/>
              <w:left w:w="100" w:type="dxa"/>
              <w:bottom w:w="60" w:type="dxa"/>
              <w:right w:w="100" w:type="dxa"/>
            </w:tcMar>
            <w:vAlign w:val="center"/>
          </w:tcPr>
          <w:p w14:paraId="4782A968"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185.5</w:t>
            </w:r>
          </w:p>
        </w:tc>
        <w:tc>
          <w:tcPr>
            <w:tcW w:w="3039" w:type="dxa"/>
            <w:tcMar>
              <w:top w:w="60" w:type="dxa"/>
              <w:left w:w="100" w:type="dxa"/>
              <w:bottom w:w="60" w:type="dxa"/>
              <w:right w:w="100" w:type="dxa"/>
            </w:tcMar>
            <w:vAlign w:val="center"/>
          </w:tcPr>
          <w:p w14:paraId="7AA9C4E2"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193.4</w:t>
            </w:r>
          </w:p>
        </w:tc>
      </w:tr>
      <w:tr w:rsidR="00C66885" w:rsidRPr="00C66885" w14:paraId="56BF5B56" w14:textId="77777777" w:rsidTr="00282C22">
        <w:trPr>
          <w:trHeight w:val="20"/>
        </w:trPr>
        <w:tc>
          <w:tcPr>
            <w:tcW w:w="1636" w:type="dxa"/>
            <w:tcMar>
              <w:top w:w="60" w:type="dxa"/>
              <w:left w:w="100" w:type="dxa"/>
              <w:bottom w:w="60" w:type="dxa"/>
              <w:right w:w="100" w:type="dxa"/>
            </w:tcMar>
            <w:vAlign w:val="center"/>
          </w:tcPr>
          <w:p w14:paraId="4F0403AC"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0.6</w:t>
            </w:r>
          </w:p>
        </w:tc>
        <w:tc>
          <w:tcPr>
            <w:tcW w:w="3039" w:type="dxa"/>
            <w:tcMar>
              <w:top w:w="60" w:type="dxa"/>
              <w:left w:w="100" w:type="dxa"/>
              <w:bottom w:w="60" w:type="dxa"/>
              <w:right w:w="100" w:type="dxa"/>
            </w:tcMar>
            <w:vAlign w:val="center"/>
          </w:tcPr>
          <w:p w14:paraId="680DD01F"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165.6</w:t>
            </w:r>
          </w:p>
        </w:tc>
        <w:tc>
          <w:tcPr>
            <w:tcW w:w="3039" w:type="dxa"/>
            <w:tcMar>
              <w:top w:w="60" w:type="dxa"/>
              <w:left w:w="100" w:type="dxa"/>
              <w:bottom w:w="60" w:type="dxa"/>
              <w:right w:w="100" w:type="dxa"/>
            </w:tcMar>
            <w:vAlign w:val="center"/>
          </w:tcPr>
          <w:p w14:paraId="74F63204"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220.6</w:t>
            </w:r>
          </w:p>
        </w:tc>
        <w:tc>
          <w:tcPr>
            <w:tcW w:w="3039" w:type="dxa"/>
            <w:tcMar>
              <w:top w:w="60" w:type="dxa"/>
              <w:left w:w="100" w:type="dxa"/>
              <w:bottom w:w="60" w:type="dxa"/>
              <w:right w:w="100" w:type="dxa"/>
            </w:tcMar>
            <w:vAlign w:val="center"/>
          </w:tcPr>
          <w:p w14:paraId="23E9ADDA"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157.4</w:t>
            </w:r>
          </w:p>
        </w:tc>
      </w:tr>
      <w:tr w:rsidR="00C66885" w:rsidRPr="00C66885" w14:paraId="3A5136B5" w14:textId="77777777" w:rsidTr="00282C22">
        <w:trPr>
          <w:trHeight w:val="20"/>
        </w:trPr>
        <w:tc>
          <w:tcPr>
            <w:tcW w:w="1636" w:type="dxa"/>
            <w:tcMar>
              <w:top w:w="60" w:type="dxa"/>
              <w:left w:w="100" w:type="dxa"/>
              <w:bottom w:w="60" w:type="dxa"/>
              <w:right w:w="100" w:type="dxa"/>
            </w:tcMar>
            <w:vAlign w:val="center"/>
          </w:tcPr>
          <w:p w14:paraId="061FD59A"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0.7</w:t>
            </w:r>
          </w:p>
        </w:tc>
        <w:tc>
          <w:tcPr>
            <w:tcW w:w="3039" w:type="dxa"/>
            <w:tcMar>
              <w:top w:w="60" w:type="dxa"/>
              <w:left w:w="100" w:type="dxa"/>
              <w:bottom w:w="60" w:type="dxa"/>
              <w:right w:w="100" w:type="dxa"/>
            </w:tcMar>
            <w:vAlign w:val="center"/>
          </w:tcPr>
          <w:p w14:paraId="0E5222E1"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154.7</w:t>
            </w:r>
          </w:p>
        </w:tc>
        <w:tc>
          <w:tcPr>
            <w:tcW w:w="3039" w:type="dxa"/>
            <w:tcMar>
              <w:top w:w="60" w:type="dxa"/>
              <w:left w:w="100" w:type="dxa"/>
              <w:bottom w:w="60" w:type="dxa"/>
              <w:right w:w="100" w:type="dxa"/>
            </w:tcMar>
            <w:vAlign w:val="center"/>
          </w:tcPr>
          <w:p w14:paraId="0010D27B"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200.5</w:t>
            </w:r>
          </w:p>
        </w:tc>
        <w:tc>
          <w:tcPr>
            <w:tcW w:w="3039" w:type="dxa"/>
            <w:tcMar>
              <w:top w:w="60" w:type="dxa"/>
              <w:left w:w="100" w:type="dxa"/>
              <w:bottom w:w="60" w:type="dxa"/>
              <w:right w:w="100" w:type="dxa"/>
            </w:tcMar>
            <w:vAlign w:val="center"/>
          </w:tcPr>
          <w:p w14:paraId="206769C4"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144.7</w:t>
            </w:r>
          </w:p>
        </w:tc>
      </w:tr>
      <w:tr w:rsidR="00C66885" w:rsidRPr="00C66885" w14:paraId="0EDEE057" w14:textId="77777777" w:rsidTr="00282C22">
        <w:trPr>
          <w:trHeight w:val="20"/>
        </w:trPr>
        <w:tc>
          <w:tcPr>
            <w:tcW w:w="1636" w:type="dxa"/>
            <w:tcMar>
              <w:top w:w="60" w:type="dxa"/>
              <w:left w:w="100" w:type="dxa"/>
              <w:bottom w:w="60" w:type="dxa"/>
              <w:right w:w="100" w:type="dxa"/>
            </w:tcMar>
            <w:vAlign w:val="center"/>
          </w:tcPr>
          <w:p w14:paraId="58AC8F33"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0.8</w:t>
            </w:r>
          </w:p>
        </w:tc>
        <w:tc>
          <w:tcPr>
            <w:tcW w:w="3039" w:type="dxa"/>
            <w:tcMar>
              <w:top w:w="60" w:type="dxa"/>
              <w:left w:w="100" w:type="dxa"/>
              <w:bottom w:w="60" w:type="dxa"/>
              <w:right w:w="100" w:type="dxa"/>
            </w:tcMar>
            <w:vAlign w:val="center"/>
          </w:tcPr>
          <w:p w14:paraId="6EFE825F"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147.5</w:t>
            </w:r>
          </w:p>
        </w:tc>
        <w:tc>
          <w:tcPr>
            <w:tcW w:w="3039" w:type="dxa"/>
            <w:tcMar>
              <w:top w:w="60" w:type="dxa"/>
              <w:left w:w="100" w:type="dxa"/>
              <w:bottom w:w="60" w:type="dxa"/>
              <w:right w:w="100" w:type="dxa"/>
            </w:tcMar>
            <w:vAlign w:val="center"/>
          </w:tcPr>
          <w:p w14:paraId="34DC7777"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140.3</w:t>
            </w:r>
          </w:p>
        </w:tc>
        <w:tc>
          <w:tcPr>
            <w:tcW w:w="3039" w:type="dxa"/>
            <w:tcMar>
              <w:top w:w="60" w:type="dxa"/>
              <w:left w:w="100" w:type="dxa"/>
              <w:bottom w:w="60" w:type="dxa"/>
              <w:right w:w="100" w:type="dxa"/>
            </w:tcMar>
            <w:vAlign w:val="center"/>
          </w:tcPr>
          <w:p w14:paraId="08DFDAF0"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145.0</w:t>
            </w:r>
          </w:p>
        </w:tc>
      </w:tr>
      <w:tr w:rsidR="00C66885" w:rsidRPr="00C66885" w14:paraId="4CD9E4CD" w14:textId="77777777" w:rsidTr="00282C22">
        <w:trPr>
          <w:trHeight w:val="20"/>
        </w:trPr>
        <w:tc>
          <w:tcPr>
            <w:tcW w:w="1636" w:type="dxa"/>
            <w:tcMar>
              <w:top w:w="60" w:type="dxa"/>
              <w:left w:w="100" w:type="dxa"/>
              <w:bottom w:w="60" w:type="dxa"/>
              <w:right w:w="100" w:type="dxa"/>
            </w:tcMar>
            <w:vAlign w:val="center"/>
          </w:tcPr>
          <w:p w14:paraId="17511118"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lastRenderedPageBreak/>
              <w:t>0.9</w:t>
            </w:r>
          </w:p>
        </w:tc>
        <w:tc>
          <w:tcPr>
            <w:tcW w:w="3039" w:type="dxa"/>
            <w:tcMar>
              <w:top w:w="60" w:type="dxa"/>
              <w:left w:w="100" w:type="dxa"/>
              <w:bottom w:w="60" w:type="dxa"/>
              <w:right w:w="100" w:type="dxa"/>
            </w:tcMar>
            <w:vAlign w:val="center"/>
          </w:tcPr>
          <w:p w14:paraId="1C0994FF"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154.8</w:t>
            </w:r>
          </w:p>
        </w:tc>
        <w:tc>
          <w:tcPr>
            <w:tcW w:w="3039" w:type="dxa"/>
            <w:tcMar>
              <w:top w:w="60" w:type="dxa"/>
              <w:left w:w="100" w:type="dxa"/>
              <w:bottom w:w="60" w:type="dxa"/>
              <w:right w:w="100" w:type="dxa"/>
            </w:tcMar>
            <w:vAlign w:val="center"/>
          </w:tcPr>
          <w:p w14:paraId="36A5B4DB"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231.9</w:t>
            </w:r>
          </w:p>
        </w:tc>
        <w:tc>
          <w:tcPr>
            <w:tcW w:w="3039" w:type="dxa"/>
            <w:tcMar>
              <w:top w:w="60" w:type="dxa"/>
              <w:left w:w="100" w:type="dxa"/>
              <w:bottom w:w="60" w:type="dxa"/>
              <w:right w:w="100" w:type="dxa"/>
            </w:tcMar>
            <w:vAlign w:val="center"/>
          </w:tcPr>
          <w:p w14:paraId="0E181492"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222.5</w:t>
            </w:r>
          </w:p>
        </w:tc>
      </w:tr>
      <w:tr w:rsidR="00C66885" w:rsidRPr="00C66885" w14:paraId="0D4533DE" w14:textId="77777777" w:rsidTr="00282C22">
        <w:trPr>
          <w:trHeight w:val="20"/>
        </w:trPr>
        <w:tc>
          <w:tcPr>
            <w:tcW w:w="1636" w:type="dxa"/>
            <w:tcMar>
              <w:top w:w="60" w:type="dxa"/>
              <w:left w:w="100" w:type="dxa"/>
              <w:bottom w:w="60" w:type="dxa"/>
              <w:right w:w="100" w:type="dxa"/>
            </w:tcMar>
            <w:vAlign w:val="center"/>
          </w:tcPr>
          <w:p w14:paraId="5E2B7C6A"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1.0</w:t>
            </w:r>
          </w:p>
        </w:tc>
        <w:tc>
          <w:tcPr>
            <w:tcW w:w="3039" w:type="dxa"/>
            <w:tcMar>
              <w:top w:w="60" w:type="dxa"/>
              <w:left w:w="100" w:type="dxa"/>
              <w:bottom w:w="60" w:type="dxa"/>
              <w:right w:w="100" w:type="dxa"/>
            </w:tcMar>
            <w:vAlign w:val="center"/>
          </w:tcPr>
          <w:p w14:paraId="4550D695"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161.3</w:t>
            </w:r>
          </w:p>
        </w:tc>
        <w:tc>
          <w:tcPr>
            <w:tcW w:w="3039" w:type="dxa"/>
            <w:tcMar>
              <w:top w:w="60" w:type="dxa"/>
              <w:left w:w="100" w:type="dxa"/>
              <w:bottom w:w="60" w:type="dxa"/>
              <w:right w:w="100" w:type="dxa"/>
            </w:tcMar>
            <w:vAlign w:val="center"/>
          </w:tcPr>
          <w:p w14:paraId="4944F76F"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211.7</w:t>
            </w:r>
          </w:p>
        </w:tc>
        <w:tc>
          <w:tcPr>
            <w:tcW w:w="3039" w:type="dxa"/>
            <w:tcMar>
              <w:top w:w="60" w:type="dxa"/>
              <w:left w:w="100" w:type="dxa"/>
              <w:bottom w:w="60" w:type="dxa"/>
              <w:right w:w="100" w:type="dxa"/>
            </w:tcMar>
            <w:vAlign w:val="center"/>
          </w:tcPr>
          <w:p w14:paraId="75D526FA" w14:textId="77777777" w:rsidR="001F7DE7" w:rsidRPr="00C66885" w:rsidRDefault="001F7DE7" w:rsidP="00FD20C3">
            <w:pPr>
              <w:spacing w:line="276" w:lineRule="auto"/>
              <w:jc w:val="center"/>
              <w:rPr>
                <w:rFonts w:ascii="Century Gothic" w:hAnsi="Century Gothic"/>
                <w:color w:val="000000" w:themeColor="text1"/>
              </w:rPr>
            </w:pPr>
            <w:r w:rsidRPr="00C66885">
              <w:rPr>
                <w:rFonts w:ascii="Century Gothic" w:hAnsi="Century Gothic"/>
                <w:color w:val="000000" w:themeColor="text1"/>
                <w:sz w:val="19"/>
                <w:szCs w:val="19"/>
              </w:rPr>
              <w:t>166.5</w:t>
            </w:r>
          </w:p>
        </w:tc>
      </w:tr>
    </w:tbl>
    <w:p w14:paraId="32E3869E" w14:textId="77777777" w:rsidR="001F7DE7" w:rsidRPr="00C66885" w:rsidRDefault="001F7DE7" w:rsidP="00FD20C3">
      <w:pPr>
        <w:spacing w:after="160" w:line="276" w:lineRule="auto"/>
        <w:rPr>
          <w:rFonts w:ascii="Century Gothic" w:hAnsi="Century Gothic"/>
          <w:color w:val="000000" w:themeColor="text1"/>
        </w:rPr>
      </w:pPr>
    </w:p>
    <w:p w14:paraId="5DB0335D" w14:textId="2F3A04E9" w:rsidR="001F7DE7" w:rsidRPr="00C66885" w:rsidRDefault="00712E67"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Compar</w:t>
      </w:r>
      <w:r w:rsidR="004A709C" w:rsidRPr="00C66885">
        <w:rPr>
          <w:rFonts w:ascii="Century Gothic" w:hAnsi="Century Gothic"/>
          <w:color w:val="000000" w:themeColor="text1"/>
        </w:rPr>
        <w:t>ing</w:t>
      </w:r>
      <w:r w:rsidR="001F7DE7" w:rsidRPr="00C66885">
        <w:rPr>
          <w:rFonts w:ascii="Century Gothic" w:hAnsi="Century Gothic"/>
          <w:color w:val="000000" w:themeColor="text1"/>
        </w:rPr>
        <w:t xml:space="preserve"> KATC-1</w:t>
      </w:r>
      <w:r w:rsidR="00372C1D" w:rsidRPr="00C66885">
        <w:rPr>
          <w:rFonts w:ascii="Century Gothic" w:hAnsi="Century Gothic"/>
          <w:color w:val="000000" w:themeColor="text1"/>
        </w:rPr>
        <w:t xml:space="preserve">to </w:t>
      </w:r>
      <w:r w:rsidR="001F7DE7" w:rsidRPr="00C66885">
        <w:rPr>
          <w:rFonts w:ascii="Century Gothic" w:hAnsi="Century Gothic"/>
          <w:color w:val="000000" w:themeColor="text1"/>
        </w:rPr>
        <w:t>KATC-2</w:t>
      </w:r>
      <w:r w:rsidR="00372C1D" w:rsidRPr="00C66885">
        <w:rPr>
          <w:rFonts w:ascii="Century Gothic" w:hAnsi="Century Gothic"/>
          <w:color w:val="000000" w:themeColor="text1"/>
        </w:rPr>
        <w:t>, KATC-2</w:t>
      </w:r>
      <w:r w:rsidR="001F7DE7" w:rsidRPr="00C66885">
        <w:rPr>
          <w:rFonts w:ascii="Century Gothic" w:hAnsi="Century Gothic"/>
          <w:color w:val="000000" w:themeColor="text1"/>
        </w:rPr>
        <w:t xml:space="preserve"> achieved lower average passenger delay in 25 of 35 scenarios, a mean improvement of approximately 13.5%. This confirms the article's central claim </w:t>
      </w:r>
      <w:r w:rsidR="004A434D" w:rsidRPr="00C66885">
        <w:rPr>
          <w:rFonts w:ascii="Century Gothic" w:hAnsi="Century Gothic"/>
          <w:color w:val="000000" w:themeColor="text1"/>
        </w:rPr>
        <w:t>that adding phase-sequence optimisation on top of green-time optimisation gives a real benefit, which is what sets KATC-2 apart</w:t>
      </w:r>
      <w:r w:rsidR="000B4189" w:rsidRPr="00C66885">
        <w:rPr>
          <w:rFonts w:ascii="Century Gothic" w:hAnsi="Century Gothic"/>
          <w:color w:val="000000" w:themeColor="text1"/>
        </w:rPr>
        <w:t xml:space="preserve"> from SYNCHRO</w:t>
      </w:r>
      <w:r w:rsidR="00A61621" w:rsidRPr="00C66885">
        <w:rPr>
          <w:rFonts w:ascii="Century Gothic" w:hAnsi="Century Gothic"/>
          <w:color w:val="000000" w:themeColor="text1"/>
        </w:rPr>
        <w:t xml:space="preserve"> and KATC-1</w:t>
      </w:r>
      <w:r w:rsidR="004A434D" w:rsidRPr="00C66885">
        <w:rPr>
          <w:rFonts w:ascii="Century Gothic" w:hAnsi="Century Gothic"/>
          <w:color w:val="000000" w:themeColor="text1"/>
        </w:rPr>
        <w:t>.</w:t>
      </w:r>
    </w:p>
    <w:p w14:paraId="4BAF5A11" w14:textId="1BAA7C94" w:rsidR="001F7DE7" w:rsidRPr="00C66885" w:rsidRDefault="00306B91" w:rsidP="00FD20C3">
      <w:pPr>
        <w:spacing w:after="120" w:line="276" w:lineRule="auto"/>
        <w:jc w:val="both"/>
        <w:rPr>
          <w:rFonts w:ascii="Century Gothic" w:hAnsi="Century Gothic"/>
          <w:color w:val="000000" w:themeColor="text1"/>
        </w:rPr>
      </w:pPr>
      <w:r w:rsidRPr="00C66885">
        <w:rPr>
          <w:rFonts w:ascii="Century Gothic" w:hAnsi="Century Gothic"/>
          <w:color w:val="000000" w:themeColor="text1"/>
        </w:rPr>
        <w:t>Analysis against</w:t>
      </w:r>
      <w:r w:rsidR="001F7DE7" w:rsidRPr="00C66885">
        <w:rPr>
          <w:rFonts w:ascii="Century Gothic" w:hAnsi="Century Gothic"/>
          <w:color w:val="000000" w:themeColor="text1"/>
        </w:rPr>
        <w:t xml:space="preserve"> the fixed-time baseline</w:t>
      </w:r>
      <w:r w:rsidRPr="00C66885">
        <w:rPr>
          <w:rFonts w:ascii="Century Gothic" w:hAnsi="Century Gothic"/>
          <w:color w:val="000000" w:themeColor="text1"/>
        </w:rPr>
        <w:t>,</w:t>
      </w:r>
      <w:r w:rsidR="001F7DE7" w:rsidRPr="00C66885">
        <w:rPr>
          <w:rFonts w:ascii="Century Gothic" w:hAnsi="Century Gothic"/>
          <w:color w:val="000000" w:themeColor="text1"/>
        </w:rPr>
        <w:t xml:space="preserve"> KATC-2 outperformed fixed-time in 20 of 35 scenarios, but the mean improvement across the grid was slightly negative (approximately −6.4%)</w:t>
      </w:r>
      <w:r w:rsidR="009E53FD" w:rsidRPr="00C66885">
        <w:rPr>
          <w:rFonts w:ascii="Century Gothic" w:hAnsi="Century Gothic"/>
          <w:color w:val="000000" w:themeColor="text1"/>
        </w:rPr>
        <w:t>.</w:t>
      </w:r>
      <w:r w:rsidR="001F7DE7" w:rsidRPr="00C66885">
        <w:rPr>
          <w:rFonts w:ascii="Century Gothic" w:hAnsi="Century Gothic"/>
          <w:color w:val="000000" w:themeColor="text1"/>
        </w:rPr>
        <w:t xml:space="preserve"> </w:t>
      </w:r>
      <w:r w:rsidR="00B6290E" w:rsidRPr="00C66885">
        <w:rPr>
          <w:rFonts w:ascii="Century Gothic" w:hAnsi="Century Gothic"/>
          <w:color w:val="000000" w:themeColor="text1"/>
        </w:rPr>
        <w:t xml:space="preserve">This was </w:t>
      </w:r>
      <w:r w:rsidR="00CA5F33" w:rsidRPr="00C66885">
        <w:rPr>
          <w:rFonts w:ascii="Century Gothic" w:hAnsi="Century Gothic"/>
          <w:color w:val="000000" w:themeColor="text1"/>
        </w:rPr>
        <w:t xml:space="preserve">as a result of </w:t>
      </w:r>
      <w:r w:rsidR="001F7DE7" w:rsidRPr="00C66885">
        <w:rPr>
          <w:rFonts w:ascii="Century Gothic" w:hAnsi="Century Gothic"/>
          <w:color w:val="000000" w:themeColor="text1"/>
        </w:rPr>
        <w:t>two anomalous saturation levels (DOS 0.5 and DOS 0.9) at which KATC-2 performed worse than the baseline. At the remaining five DOS levels, KATC-2 was competitive with or better than fixed-time, with improvements of roughly 5 to 10% at low-to-moderate saturation. Figure 2 shows the improvement of KATC-2 over both comparators as a function of DOS; Figure 3 shows mean delay by controller.</w:t>
      </w:r>
    </w:p>
    <w:p w14:paraId="211F0B81" w14:textId="77777777" w:rsidR="001F7DE7" w:rsidRPr="00C66885" w:rsidRDefault="001F7DE7" w:rsidP="00FD20C3">
      <w:pPr>
        <w:spacing w:before="80" w:after="40" w:line="276" w:lineRule="auto"/>
        <w:jc w:val="center"/>
        <w:rPr>
          <w:rFonts w:ascii="Century Gothic" w:hAnsi="Century Gothic"/>
          <w:color w:val="000000" w:themeColor="text1"/>
        </w:rPr>
      </w:pPr>
      <w:r w:rsidRPr="00C66885">
        <w:rPr>
          <w:rFonts w:ascii="Century Gothic" w:hAnsi="Century Gothic"/>
          <w:noProof/>
          <w:color w:val="000000" w:themeColor="text1"/>
        </w:rPr>
        <w:drawing>
          <wp:inline distT="0" distB="0" distL="0" distR="0" wp14:anchorId="150AC8C2" wp14:editId="59C474B2">
            <wp:extent cx="4191000" cy="2571750"/>
            <wp:effectExtent l="0" t="0" r="0" b="0"/>
            <wp:docPr id="319533641" name="Picture 31953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571750"/>
                    </a:xfrm>
                    <a:prstGeom prst="rect">
                      <a:avLst/>
                    </a:prstGeom>
                  </pic:spPr>
                </pic:pic>
              </a:graphicData>
            </a:graphic>
          </wp:inline>
        </w:drawing>
      </w:r>
    </w:p>
    <w:p w14:paraId="3F0918B9" w14:textId="77777777" w:rsidR="001F7DE7" w:rsidRPr="00C66885" w:rsidRDefault="001F7DE7" w:rsidP="00FD20C3">
      <w:pPr>
        <w:spacing w:after="160" w:line="276" w:lineRule="auto"/>
        <w:jc w:val="center"/>
        <w:rPr>
          <w:rFonts w:ascii="Century Gothic" w:hAnsi="Century Gothic"/>
          <w:color w:val="000000" w:themeColor="text1"/>
        </w:rPr>
      </w:pPr>
      <w:r w:rsidRPr="00C66885">
        <w:rPr>
          <w:rFonts w:ascii="Century Gothic" w:hAnsi="Century Gothic"/>
          <w:i/>
          <w:iCs/>
          <w:color w:val="000000" w:themeColor="text1"/>
          <w:sz w:val="18"/>
          <w:szCs w:val="18"/>
        </w:rPr>
        <w:t>Figure 2. KATC-2 improvement in average passenger delay over fixed-time and over KATC-1, by DOS.</w:t>
      </w:r>
    </w:p>
    <w:p w14:paraId="5B064846" w14:textId="77777777" w:rsidR="001F7DE7" w:rsidRPr="00C66885" w:rsidRDefault="001F7DE7" w:rsidP="00FD20C3">
      <w:pPr>
        <w:spacing w:before="80" w:after="40" w:line="276" w:lineRule="auto"/>
        <w:jc w:val="center"/>
        <w:rPr>
          <w:rFonts w:ascii="Century Gothic" w:hAnsi="Century Gothic"/>
          <w:color w:val="000000" w:themeColor="text1"/>
        </w:rPr>
      </w:pPr>
      <w:r w:rsidRPr="00C66885">
        <w:rPr>
          <w:rFonts w:ascii="Century Gothic" w:hAnsi="Century Gothic"/>
          <w:noProof/>
          <w:color w:val="000000" w:themeColor="text1"/>
        </w:rPr>
        <w:drawing>
          <wp:inline distT="0" distB="0" distL="0" distR="0" wp14:anchorId="60BDAFAC" wp14:editId="68093F9C">
            <wp:extent cx="4191000" cy="2571750"/>
            <wp:effectExtent l="0" t="0" r="0" b="0"/>
            <wp:docPr id="1876857219" name="Picture 187685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571750"/>
                    </a:xfrm>
                    <a:prstGeom prst="rect">
                      <a:avLst/>
                    </a:prstGeom>
                  </pic:spPr>
                </pic:pic>
              </a:graphicData>
            </a:graphic>
          </wp:inline>
        </w:drawing>
      </w:r>
    </w:p>
    <w:p w14:paraId="1B0F81D2" w14:textId="77777777" w:rsidR="001F7DE7" w:rsidRPr="00C66885" w:rsidRDefault="001F7DE7" w:rsidP="00FD20C3">
      <w:pPr>
        <w:spacing w:after="160" w:line="276" w:lineRule="auto"/>
        <w:jc w:val="center"/>
        <w:rPr>
          <w:rFonts w:ascii="Century Gothic" w:hAnsi="Century Gothic"/>
          <w:color w:val="000000" w:themeColor="text1"/>
        </w:rPr>
      </w:pPr>
      <w:r w:rsidRPr="00C66885">
        <w:rPr>
          <w:rFonts w:ascii="Century Gothic" w:hAnsi="Century Gothic"/>
          <w:i/>
          <w:iCs/>
          <w:color w:val="000000" w:themeColor="text1"/>
          <w:sz w:val="18"/>
          <w:szCs w:val="18"/>
        </w:rPr>
        <w:t>Figure 3. Mean average passenger delay by controller across saturation levels.</w:t>
      </w:r>
    </w:p>
    <w:p w14:paraId="3CF40757" w14:textId="77777777" w:rsidR="001F7DE7" w:rsidRPr="00C66885" w:rsidRDefault="001F7DE7" w:rsidP="00FD20C3">
      <w:pPr>
        <w:pStyle w:val="Heading1"/>
        <w:spacing w:line="276" w:lineRule="auto"/>
        <w:jc w:val="both"/>
      </w:pPr>
      <w:r w:rsidRPr="00C66885">
        <w:lastRenderedPageBreak/>
        <w:t>6. Discussion and Conclusion</w:t>
      </w:r>
    </w:p>
    <w:p w14:paraId="009B45F7" w14:textId="77777777" w:rsidR="0012374E" w:rsidRPr="00C66885" w:rsidRDefault="0012374E" w:rsidP="00FD20C3">
      <w:pPr>
        <w:pStyle w:val="Heading1"/>
        <w:spacing w:line="276" w:lineRule="auto"/>
        <w:jc w:val="both"/>
        <w:rPr>
          <w:rFonts w:eastAsia="Calibri" w:cs="Calibri"/>
          <w:b w:val="0"/>
          <w:bCs w:val="0"/>
          <w:kern w:val="0"/>
          <w:sz w:val="21"/>
          <w:szCs w:val="21"/>
          <w:lang w:eastAsia="en-GH"/>
          <w14:ligatures w14:val="none"/>
        </w:rPr>
      </w:pPr>
      <w:r w:rsidRPr="00C66885">
        <w:rPr>
          <w:rFonts w:eastAsia="Calibri" w:cs="Calibri"/>
          <w:b w:val="0"/>
          <w:bCs w:val="0"/>
          <w:kern w:val="0"/>
          <w:sz w:val="21"/>
          <w:szCs w:val="21"/>
          <w:lang w:eastAsia="en-GH"/>
          <w14:ligatures w14:val="none"/>
        </w:rPr>
        <w:t>The reproduction worked at the level of method and mechanism. We rebuilt the kinematic-wave delay model and confirmed it against its own internal identity. We reproduced the genetic algorithm faithfully, and it converged just as the article describes. The full read-optimise-actuate loop runs from start to finish in simulation. Most importantly, the article's central claim held up. That claim is that optimising phase sequence gives KATC-2 an edge over KATC-1, and in our runs KATC-2 improved on KATC-1 in the large majority of scenarios.</w:t>
      </w:r>
    </w:p>
    <w:p w14:paraId="1141B35B" w14:textId="44210548" w:rsidR="0012374E" w:rsidRPr="00C66885" w:rsidRDefault="0012374E" w:rsidP="00FD20C3">
      <w:pPr>
        <w:pStyle w:val="Heading1"/>
        <w:spacing w:line="276" w:lineRule="auto"/>
        <w:jc w:val="both"/>
        <w:rPr>
          <w:rFonts w:eastAsia="Calibri" w:cs="Calibri"/>
          <w:b w:val="0"/>
          <w:bCs w:val="0"/>
          <w:kern w:val="0"/>
          <w:sz w:val="21"/>
          <w:szCs w:val="21"/>
          <w:lang w:eastAsia="en-GH"/>
          <w14:ligatures w14:val="none"/>
        </w:rPr>
      </w:pPr>
      <w:r w:rsidRPr="00C66885">
        <w:rPr>
          <w:rFonts w:eastAsia="Calibri" w:cs="Calibri"/>
          <w:b w:val="0"/>
          <w:bCs w:val="0"/>
          <w:kern w:val="0"/>
          <w:sz w:val="21"/>
          <w:szCs w:val="21"/>
          <w:lang w:eastAsia="en-GH"/>
          <w14:ligatures w14:val="none"/>
        </w:rPr>
        <w:t>The reproduction did diverge from the original in two ways. The first is that our delay values came out far higher than the article's. This was expected, since we swapped VISSIM for SUMO and the two simulators measure delay differently. The second is more interesting. KATC-2 did not consistently beat the fixed-time baseline. It won in most scenarios, but the results varied a lot, and there were two points where it lost badly. A few things likely explain this. Because the controller re-optimises from scratch every cycle, it can unsettle the green-time allocation, especially when a steady fixed plan is already close to the best option. On top of that, the delay figures the optimiser aims for is only an estimate, calculated with rough traffic parameters we did not calibrate, so it does not always match what SUMO actually measures. That means the optimiser can pick plans that look good on paper but are not the best in simulation. The two odd saturation levels point to something scenario-specific that would be worth digging into later.</w:t>
      </w:r>
    </w:p>
    <w:p w14:paraId="1554805D" w14:textId="040A112E" w:rsidR="00B56093" w:rsidRPr="00C66885" w:rsidRDefault="0012374E" w:rsidP="00FD20C3">
      <w:pPr>
        <w:pStyle w:val="Heading1"/>
        <w:spacing w:line="276" w:lineRule="auto"/>
        <w:jc w:val="both"/>
        <w:sectPr w:rsidR="00B56093" w:rsidRPr="00C66885" w:rsidSect="00FD20C3">
          <w:footerReference w:type="default" r:id="rId11"/>
          <w:headerReference w:type="first" r:id="rId12"/>
          <w:pgSz w:w="12240" w:h="15840"/>
          <w:pgMar w:top="720" w:right="720" w:bottom="720" w:left="720" w:header="113" w:footer="0" w:gutter="0"/>
          <w:cols w:space="720"/>
          <w:titlePg/>
          <w:docGrid w:linePitch="360"/>
        </w:sectPr>
      </w:pPr>
      <w:r w:rsidRPr="00C66885">
        <w:rPr>
          <w:rFonts w:eastAsia="Calibri" w:cs="Calibri"/>
          <w:b w:val="0"/>
          <w:bCs w:val="0"/>
          <w:kern w:val="0"/>
          <w:sz w:val="21"/>
          <w:szCs w:val="21"/>
          <w:lang w:eastAsia="en-GH"/>
          <w14:ligatures w14:val="none"/>
        </w:rPr>
        <w:t>Taken together, the study reproduces the KATC method and its main internal comparison, while also showing that its advantage over a conventional baseline is less reliable once you run it on a different simulator with uncalibrated parameters. That is really where the value of the exercise lies. A reproduction shows understanding not by matching every number, but by working out where a method holds up, where it breaks, and why. Reproducing this work was harder than it needed to be because the original relied on commercial tools, left its coefficient mapping unpublished, and shared no code. Pointing out those gaps is a useful result in its own right.</w:t>
      </w:r>
    </w:p>
    <w:p w14:paraId="6FAC1671" w14:textId="77777777" w:rsidR="001F7DE7" w:rsidRPr="00C66885" w:rsidRDefault="001F7DE7" w:rsidP="00FD20C3">
      <w:pPr>
        <w:pStyle w:val="Heading1"/>
        <w:spacing w:line="276" w:lineRule="auto"/>
        <w:jc w:val="center"/>
      </w:pPr>
      <w:r w:rsidRPr="00C66885">
        <w:lastRenderedPageBreak/>
        <w:t>References</w:t>
      </w:r>
    </w:p>
    <w:p w14:paraId="1EC47EE2"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 xml:space="preserve">Behbahani, H., &amp; </w:t>
      </w:r>
      <w:proofErr w:type="spellStart"/>
      <w:r w:rsidRPr="00447265">
        <w:rPr>
          <w:rFonts w:ascii="Century Gothic" w:hAnsi="Century Gothic"/>
          <w:color w:val="000000" w:themeColor="text1"/>
          <w:sz w:val="20"/>
          <w:szCs w:val="20"/>
          <w:lang w:val="en-GH"/>
        </w:rPr>
        <w:t>Poorjafari</w:t>
      </w:r>
      <w:proofErr w:type="spellEnd"/>
      <w:r w:rsidRPr="00447265">
        <w:rPr>
          <w:rFonts w:ascii="Century Gothic" w:hAnsi="Century Gothic"/>
          <w:color w:val="000000" w:themeColor="text1"/>
          <w:sz w:val="20"/>
          <w:szCs w:val="20"/>
          <w:lang w:val="en-GH"/>
        </w:rPr>
        <w:t>, V. (2022). Proposing a kinematic wave-based adaptive transit signal priority control using genetic algorithm. IET Intelligent Transport Systems, 17(5), 912–928. https://doi.org/10.1049/itr2.12316</w:t>
      </w:r>
    </w:p>
    <w:p w14:paraId="73445A6C"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Goldberg, D. E. (1989). Genetic algorithms in search, optimization, and machine learning. Addison-Wesley.</w:t>
      </w:r>
    </w:p>
    <w:p w14:paraId="204DD586"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 xml:space="preserve">Koonce, P., </w:t>
      </w:r>
      <w:proofErr w:type="spellStart"/>
      <w:r w:rsidRPr="00447265">
        <w:rPr>
          <w:rFonts w:ascii="Century Gothic" w:hAnsi="Century Gothic"/>
          <w:color w:val="000000" w:themeColor="text1"/>
          <w:sz w:val="20"/>
          <w:szCs w:val="20"/>
          <w:lang w:val="en-GH"/>
        </w:rPr>
        <w:t>Rodegerdts</w:t>
      </w:r>
      <w:proofErr w:type="spellEnd"/>
      <w:r w:rsidRPr="00447265">
        <w:rPr>
          <w:rFonts w:ascii="Century Gothic" w:hAnsi="Century Gothic"/>
          <w:color w:val="000000" w:themeColor="text1"/>
          <w:sz w:val="20"/>
          <w:szCs w:val="20"/>
          <w:lang w:val="en-GH"/>
        </w:rPr>
        <w:t xml:space="preserve">, L., Lee, K., Quayle, S., Beaird, S., Braud, C., </w:t>
      </w:r>
      <w:proofErr w:type="spellStart"/>
      <w:r w:rsidRPr="00447265">
        <w:rPr>
          <w:rFonts w:ascii="Century Gothic" w:hAnsi="Century Gothic"/>
          <w:color w:val="000000" w:themeColor="text1"/>
          <w:sz w:val="20"/>
          <w:szCs w:val="20"/>
          <w:lang w:val="en-GH"/>
        </w:rPr>
        <w:t>Bonneson</w:t>
      </w:r>
      <w:proofErr w:type="spellEnd"/>
      <w:r w:rsidRPr="00447265">
        <w:rPr>
          <w:rFonts w:ascii="Century Gothic" w:hAnsi="Century Gothic"/>
          <w:color w:val="000000" w:themeColor="text1"/>
          <w:sz w:val="20"/>
          <w:szCs w:val="20"/>
          <w:lang w:val="en-GH"/>
        </w:rPr>
        <w:t>, J., Tarnoff, P., &amp; Urbanik, T. (2008). Traffic signal timing manual (Report No. FHWA-HOP-08-024). Federal Highway Administration.</w:t>
      </w:r>
    </w:p>
    <w:p w14:paraId="65054BEC"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Lighthill, M. J., &amp; Whitham, G. B. (1955). On kinematic waves II: A theory of traffic flow on long crowded roads. Proceedings of the Royal Society of London A, 229(1178), 317–345. https://doi.org/10.1098/rspa.1955.0089</w:t>
      </w:r>
    </w:p>
    <w:p w14:paraId="173E7933"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 xml:space="preserve">Lopez, P. A., </w:t>
      </w:r>
      <w:proofErr w:type="spellStart"/>
      <w:r w:rsidRPr="00447265">
        <w:rPr>
          <w:rFonts w:ascii="Century Gothic" w:hAnsi="Century Gothic"/>
          <w:color w:val="000000" w:themeColor="text1"/>
          <w:sz w:val="20"/>
          <w:szCs w:val="20"/>
          <w:lang w:val="en-GH"/>
        </w:rPr>
        <w:t>Behrisch</w:t>
      </w:r>
      <w:proofErr w:type="spellEnd"/>
      <w:r w:rsidRPr="00447265">
        <w:rPr>
          <w:rFonts w:ascii="Century Gothic" w:hAnsi="Century Gothic"/>
          <w:color w:val="000000" w:themeColor="text1"/>
          <w:sz w:val="20"/>
          <w:szCs w:val="20"/>
          <w:lang w:val="en-GH"/>
        </w:rPr>
        <w:t xml:space="preserve">, M., Bieker-Walz, L., Erdmann, J., </w:t>
      </w:r>
      <w:proofErr w:type="spellStart"/>
      <w:r w:rsidRPr="00447265">
        <w:rPr>
          <w:rFonts w:ascii="Century Gothic" w:hAnsi="Century Gothic"/>
          <w:color w:val="000000" w:themeColor="text1"/>
          <w:sz w:val="20"/>
          <w:szCs w:val="20"/>
          <w:lang w:val="en-GH"/>
        </w:rPr>
        <w:t>Flötteröd</w:t>
      </w:r>
      <w:proofErr w:type="spellEnd"/>
      <w:r w:rsidRPr="00447265">
        <w:rPr>
          <w:rFonts w:ascii="Century Gothic" w:hAnsi="Century Gothic"/>
          <w:color w:val="000000" w:themeColor="text1"/>
          <w:sz w:val="20"/>
          <w:szCs w:val="20"/>
          <w:lang w:val="en-GH"/>
        </w:rPr>
        <w:t xml:space="preserve">, Y.-P., Hilbrich, R., </w:t>
      </w:r>
      <w:proofErr w:type="spellStart"/>
      <w:r w:rsidRPr="00447265">
        <w:rPr>
          <w:rFonts w:ascii="Century Gothic" w:hAnsi="Century Gothic"/>
          <w:color w:val="000000" w:themeColor="text1"/>
          <w:sz w:val="20"/>
          <w:szCs w:val="20"/>
          <w:lang w:val="en-GH"/>
        </w:rPr>
        <w:t>Lücken</w:t>
      </w:r>
      <w:proofErr w:type="spellEnd"/>
      <w:r w:rsidRPr="00447265">
        <w:rPr>
          <w:rFonts w:ascii="Century Gothic" w:hAnsi="Century Gothic"/>
          <w:color w:val="000000" w:themeColor="text1"/>
          <w:sz w:val="20"/>
          <w:szCs w:val="20"/>
          <w:lang w:val="en-GH"/>
        </w:rPr>
        <w:t xml:space="preserve">, L., Rummel, J., Wagner, P., &amp; </w:t>
      </w:r>
      <w:proofErr w:type="spellStart"/>
      <w:r w:rsidRPr="00447265">
        <w:rPr>
          <w:rFonts w:ascii="Century Gothic" w:hAnsi="Century Gothic"/>
          <w:color w:val="000000" w:themeColor="text1"/>
          <w:sz w:val="20"/>
          <w:szCs w:val="20"/>
          <w:lang w:val="en-GH"/>
        </w:rPr>
        <w:t>Wießner</w:t>
      </w:r>
      <w:proofErr w:type="spellEnd"/>
      <w:r w:rsidRPr="00447265">
        <w:rPr>
          <w:rFonts w:ascii="Century Gothic" w:hAnsi="Century Gothic"/>
          <w:color w:val="000000" w:themeColor="text1"/>
          <w:sz w:val="20"/>
          <w:szCs w:val="20"/>
          <w:lang w:val="en-GH"/>
        </w:rPr>
        <w:t>, E. (2018). Microscopic traffic simulation using SUMO. In Proceedings of the 21st IEEE International Conference on Intelligent Transportation Systems (pp. 2575–2582). https://doi.org/10.1109/ITSC.2018.8569938</w:t>
      </w:r>
    </w:p>
    <w:p w14:paraId="52BC528C"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Richards, P. I. (1956). Shock waves on the highway. Operations Research, 4(1), 42–51. https://doi.org/10.1287/opre.4.1.42</w:t>
      </w:r>
    </w:p>
    <w:p w14:paraId="1DB7A778"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Webster, F. V. (1958). Traffic signal settings (Road Research Technical Paper No. 39). Her Majesty's Stationery Office.</w:t>
      </w:r>
    </w:p>
    <w:p w14:paraId="29A05B92" w14:textId="77777777" w:rsidR="00447265" w:rsidRPr="00447265" w:rsidRDefault="00447265" w:rsidP="00FD20C3">
      <w:pPr>
        <w:spacing w:before="240" w:after="100" w:line="276" w:lineRule="auto"/>
        <w:ind w:left="720" w:hanging="720"/>
        <w:rPr>
          <w:rFonts w:ascii="Century Gothic" w:hAnsi="Century Gothic"/>
          <w:color w:val="000000" w:themeColor="text1"/>
          <w:sz w:val="20"/>
          <w:szCs w:val="20"/>
          <w:lang w:val="en-GH"/>
        </w:rPr>
      </w:pPr>
      <w:r w:rsidRPr="00447265">
        <w:rPr>
          <w:rFonts w:ascii="Century Gothic" w:hAnsi="Century Gothic"/>
          <w:b/>
          <w:bCs/>
          <w:color w:val="000000" w:themeColor="text1"/>
          <w:sz w:val="20"/>
          <w:szCs w:val="20"/>
          <w:lang w:val="en-GH"/>
        </w:rPr>
        <w:t>Tools and software</w:t>
      </w:r>
    </w:p>
    <w:p w14:paraId="07E5B3A1"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r w:rsidRPr="00447265">
        <w:rPr>
          <w:rFonts w:ascii="Century Gothic" w:hAnsi="Century Gothic"/>
          <w:color w:val="000000" w:themeColor="text1"/>
          <w:sz w:val="20"/>
          <w:szCs w:val="20"/>
          <w:lang w:val="en-GH"/>
        </w:rPr>
        <w:t xml:space="preserve">Anthropic. (2025). </w:t>
      </w:r>
      <w:r w:rsidRPr="00447265">
        <w:rPr>
          <w:rFonts w:ascii="Century Gothic" w:hAnsi="Century Gothic"/>
          <w:i/>
          <w:iCs/>
          <w:color w:val="000000" w:themeColor="text1"/>
          <w:sz w:val="20"/>
          <w:szCs w:val="20"/>
          <w:lang w:val="en-GH"/>
        </w:rPr>
        <w:t xml:space="preserve">Claude (Opus 4) </w:t>
      </w:r>
      <w:r w:rsidRPr="00447265">
        <w:rPr>
          <w:rFonts w:ascii="Century Gothic" w:hAnsi="Century Gothic"/>
          <w:color w:val="000000" w:themeColor="text1"/>
          <w:sz w:val="20"/>
          <w:szCs w:val="20"/>
          <w:lang w:val="en-GH"/>
        </w:rPr>
        <w:t>[Large language model]. https://claude.ai</w:t>
      </w:r>
    </w:p>
    <w:p w14:paraId="1228D4D3" w14:textId="77777777" w:rsidR="00447265" w:rsidRPr="00447265" w:rsidRDefault="00447265" w:rsidP="00FD20C3">
      <w:pPr>
        <w:spacing w:after="100" w:line="276" w:lineRule="auto"/>
        <w:ind w:left="720" w:hanging="720"/>
        <w:rPr>
          <w:rFonts w:ascii="Century Gothic" w:hAnsi="Century Gothic"/>
          <w:color w:val="000000" w:themeColor="text1"/>
          <w:sz w:val="20"/>
          <w:szCs w:val="20"/>
          <w:lang w:val="en-GH"/>
        </w:rPr>
      </w:pPr>
      <w:proofErr w:type="spellStart"/>
      <w:r w:rsidRPr="00447265">
        <w:rPr>
          <w:rFonts w:ascii="Century Gothic" w:hAnsi="Century Gothic"/>
          <w:color w:val="000000" w:themeColor="text1"/>
          <w:sz w:val="20"/>
          <w:szCs w:val="20"/>
          <w:lang w:val="en-GH"/>
        </w:rPr>
        <w:t>Mathpix</w:t>
      </w:r>
      <w:proofErr w:type="spellEnd"/>
      <w:r w:rsidRPr="00447265">
        <w:rPr>
          <w:rFonts w:ascii="Century Gothic" w:hAnsi="Century Gothic"/>
          <w:color w:val="000000" w:themeColor="text1"/>
          <w:sz w:val="20"/>
          <w:szCs w:val="20"/>
          <w:lang w:val="en-GH"/>
        </w:rPr>
        <w:t xml:space="preserve">. (2025). </w:t>
      </w:r>
      <w:proofErr w:type="spellStart"/>
      <w:r w:rsidRPr="00447265">
        <w:rPr>
          <w:rFonts w:ascii="Century Gothic" w:hAnsi="Century Gothic"/>
          <w:i/>
          <w:iCs/>
          <w:color w:val="000000" w:themeColor="text1"/>
          <w:sz w:val="20"/>
          <w:szCs w:val="20"/>
          <w:lang w:val="en-GH"/>
        </w:rPr>
        <w:t>Mathpix</w:t>
      </w:r>
      <w:proofErr w:type="spellEnd"/>
      <w:r w:rsidRPr="00447265">
        <w:rPr>
          <w:rFonts w:ascii="Century Gothic" w:hAnsi="Century Gothic"/>
          <w:i/>
          <w:iCs/>
          <w:color w:val="000000" w:themeColor="text1"/>
          <w:sz w:val="20"/>
          <w:szCs w:val="20"/>
          <w:lang w:val="en-GH"/>
        </w:rPr>
        <w:t xml:space="preserve"> Snip </w:t>
      </w:r>
      <w:r w:rsidRPr="00447265">
        <w:rPr>
          <w:rFonts w:ascii="Century Gothic" w:hAnsi="Century Gothic"/>
          <w:color w:val="000000" w:themeColor="text1"/>
          <w:sz w:val="20"/>
          <w:szCs w:val="20"/>
          <w:lang w:val="en-GH"/>
        </w:rPr>
        <w:t>[Computer software]. https://mathpix.com</w:t>
      </w:r>
    </w:p>
    <w:p w14:paraId="1A6DBD8B" w14:textId="22F689EC" w:rsidR="002B76AC" w:rsidRPr="00FD20C3" w:rsidRDefault="00447265" w:rsidP="00FD20C3">
      <w:pPr>
        <w:spacing w:after="100" w:line="276" w:lineRule="auto"/>
        <w:ind w:left="720" w:hanging="720"/>
        <w:rPr>
          <w:rFonts w:ascii="Century Gothic" w:hAnsi="Century Gothic"/>
          <w:color w:val="000000" w:themeColor="text1"/>
        </w:rPr>
      </w:pPr>
      <w:proofErr w:type="spellStart"/>
      <w:r w:rsidRPr="00447265">
        <w:rPr>
          <w:rFonts w:ascii="Century Gothic" w:hAnsi="Century Gothic"/>
          <w:color w:val="000000" w:themeColor="text1"/>
          <w:sz w:val="20"/>
          <w:szCs w:val="20"/>
          <w:lang w:val="en-GH"/>
        </w:rPr>
        <w:t>uFreeTools</w:t>
      </w:r>
      <w:proofErr w:type="spellEnd"/>
      <w:r w:rsidRPr="00447265">
        <w:rPr>
          <w:rFonts w:ascii="Century Gothic" w:hAnsi="Century Gothic"/>
          <w:color w:val="000000" w:themeColor="text1"/>
          <w:sz w:val="20"/>
          <w:szCs w:val="20"/>
          <w:lang w:val="en-GH"/>
        </w:rPr>
        <w:t xml:space="preserve">. (2025). </w:t>
      </w:r>
      <w:r w:rsidRPr="00447265">
        <w:rPr>
          <w:rFonts w:ascii="Century Gothic" w:hAnsi="Century Gothic"/>
          <w:i/>
          <w:iCs/>
          <w:color w:val="000000" w:themeColor="text1"/>
          <w:sz w:val="20"/>
          <w:szCs w:val="20"/>
          <w:lang w:val="en-GH"/>
        </w:rPr>
        <w:t xml:space="preserve">LaTeX formula generator </w:t>
      </w:r>
      <w:r w:rsidRPr="00447265">
        <w:rPr>
          <w:rFonts w:ascii="Century Gothic" w:hAnsi="Century Gothic"/>
          <w:color w:val="000000" w:themeColor="text1"/>
          <w:sz w:val="20"/>
          <w:szCs w:val="20"/>
          <w:lang w:val="en-GH"/>
        </w:rPr>
        <w:t>[Computer software]. https://www.ufreetools.com/en/tool/latex-formula-generator</w:t>
      </w:r>
    </w:p>
    <w:sectPr w:rsidR="002B76AC" w:rsidRPr="00FD20C3" w:rsidSect="001F7DE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6FB7" w14:textId="77777777" w:rsidR="00030C92" w:rsidRDefault="00030C92" w:rsidP="0044106F">
      <w:r>
        <w:separator/>
      </w:r>
    </w:p>
  </w:endnote>
  <w:endnote w:type="continuationSeparator" w:id="0">
    <w:p w14:paraId="6386A43B" w14:textId="77777777" w:rsidR="00030C92" w:rsidRDefault="00030C92" w:rsidP="00441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rPr>
      <w:id w:val="-1596779735"/>
      <w:docPartObj>
        <w:docPartGallery w:val="Page Numbers (Bottom of Page)"/>
        <w:docPartUnique/>
      </w:docPartObj>
    </w:sdtPr>
    <w:sdtEndPr>
      <w:rPr>
        <w:noProof/>
      </w:rPr>
    </w:sdtEndPr>
    <w:sdtContent>
      <w:p w14:paraId="45DA339D" w14:textId="307DBDCC" w:rsidR="001F7DE7" w:rsidRPr="0044106F" w:rsidRDefault="0044106F" w:rsidP="0044106F">
        <w:pPr>
          <w:pStyle w:val="Footer"/>
          <w:jc w:val="right"/>
          <w:rPr>
            <w:rFonts w:ascii="Century Gothic" w:hAnsi="Century Gothic"/>
          </w:rPr>
        </w:pPr>
        <w:r w:rsidRPr="0044106F">
          <w:rPr>
            <w:rFonts w:ascii="Century Gothic" w:hAnsi="Century Gothic"/>
          </w:rPr>
          <w:fldChar w:fldCharType="begin"/>
        </w:r>
        <w:r w:rsidRPr="0044106F">
          <w:rPr>
            <w:rFonts w:ascii="Century Gothic" w:hAnsi="Century Gothic"/>
          </w:rPr>
          <w:instrText xml:space="preserve"> PAGE   \* MERGEFORMAT </w:instrText>
        </w:r>
        <w:r w:rsidRPr="0044106F">
          <w:rPr>
            <w:rFonts w:ascii="Century Gothic" w:hAnsi="Century Gothic"/>
          </w:rPr>
          <w:fldChar w:fldCharType="separate"/>
        </w:r>
        <w:r w:rsidRPr="0044106F">
          <w:rPr>
            <w:rFonts w:ascii="Century Gothic" w:hAnsi="Century Gothic"/>
            <w:noProof/>
          </w:rPr>
          <w:t>2</w:t>
        </w:r>
        <w:r w:rsidRPr="0044106F">
          <w:rPr>
            <w:rFonts w:ascii="Century Gothic" w:hAnsi="Century Gothic"/>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ABD4" w14:textId="77777777" w:rsidR="00030C92" w:rsidRDefault="00030C92" w:rsidP="0044106F">
      <w:r>
        <w:separator/>
      </w:r>
    </w:p>
  </w:footnote>
  <w:footnote w:type="continuationSeparator" w:id="0">
    <w:p w14:paraId="648718B4" w14:textId="77777777" w:rsidR="00030C92" w:rsidRDefault="00030C92" w:rsidP="00441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52D2" w14:textId="79DAC46B" w:rsidR="00693D47" w:rsidRDefault="00F93C86" w:rsidP="00C66885">
    <w:pPr>
      <w:pStyle w:val="Header"/>
      <w:spacing w:after="240"/>
    </w:pPr>
    <w:r w:rsidRPr="00693D47">
      <w:rPr>
        <w:rFonts w:ascii="Century Gothic" w:hAnsi="Century Gothic"/>
        <w:lang w:val="en-GB"/>
      </w:rPr>
      <w:t>22427613 – Terrence Binful</w:t>
    </w:r>
    <w:r w:rsidR="00C66885">
      <w:rPr>
        <w:rFonts w:ascii="Century Gothic" w:hAnsi="Century Gothic"/>
        <w:lang w:val="en-GB"/>
      </w:rPr>
      <w:br/>
    </w:r>
    <w:r>
      <w:rPr>
        <w:rFonts w:ascii="Century Gothic" w:hAnsi="Century Gothic"/>
        <w:lang w:val="en-GB"/>
      </w:rPr>
      <w:br/>
      <w:t>Assignment 1</w:t>
    </w:r>
    <w:r>
      <w:rPr>
        <w:rFonts w:ascii="Century Gothic" w:hAnsi="Century Gothic"/>
        <w:lang w:val="en-GB"/>
      </w:rPr>
      <w:br/>
    </w:r>
    <w:r w:rsidR="00C66885" w:rsidRPr="00C66885">
      <w:rPr>
        <w:rFonts w:ascii="Century Gothic" w:hAnsi="Century Gothic"/>
        <w:lang w:val="en-GB"/>
      </w:rPr>
      <w:t>CSCD612 Intelligent Systems</w:t>
    </w:r>
    <w:r w:rsidR="00C66885">
      <w:rPr>
        <w:rFonts w:ascii="Century Gothic" w:hAnsi="Century Gothic"/>
        <w:lang w:val="en-GB"/>
      </w:rPr>
      <w:br/>
      <w:t>2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5F88"/>
    <w:multiLevelType w:val="hybridMultilevel"/>
    <w:tmpl w:val="85B8816E"/>
    <w:lvl w:ilvl="0" w:tplc="D286F95E">
      <w:start w:val="1"/>
      <w:numFmt w:val="bullet"/>
      <w:lvlText w:val="●"/>
      <w:lvlJc w:val="left"/>
      <w:pPr>
        <w:ind w:left="720" w:hanging="360"/>
      </w:pPr>
    </w:lvl>
    <w:lvl w:ilvl="1" w:tplc="47ECA362">
      <w:start w:val="1"/>
      <w:numFmt w:val="bullet"/>
      <w:lvlText w:val="○"/>
      <w:lvlJc w:val="left"/>
      <w:pPr>
        <w:ind w:left="1440" w:hanging="360"/>
      </w:pPr>
    </w:lvl>
    <w:lvl w:ilvl="2" w:tplc="8EF01C4A">
      <w:start w:val="1"/>
      <w:numFmt w:val="bullet"/>
      <w:lvlText w:val="■"/>
      <w:lvlJc w:val="left"/>
      <w:pPr>
        <w:ind w:left="2160" w:hanging="360"/>
      </w:pPr>
    </w:lvl>
    <w:lvl w:ilvl="3" w:tplc="B126ACA2">
      <w:start w:val="1"/>
      <w:numFmt w:val="bullet"/>
      <w:lvlText w:val="●"/>
      <w:lvlJc w:val="left"/>
      <w:pPr>
        <w:ind w:left="2880" w:hanging="360"/>
      </w:pPr>
    </w:lvl>
    <w:lvl w:ilvl="4" w:tplc="4E6E1FFA">
      <w:start w:val="1"/>
      <w:numFmt w:val="bullet"/>
      <w:lvlText w:val="○"/>
      <w:lvlJc w:val="left"/>
      <w:pPr>
        <w:ind w:left="3600" w:hanging="360"/>
      </w:pPr>
    </w:lvl>
    <w:lvl w:ilvl="5" w:tplc="432A0F7C">
      <w:start w:val="1"/>
      <w:numFmt w:val="bullet"/>
      <w:lvlText w:val="■"/>
      <w:lvlJc w:val="left"/>
      <w:pPr>
        <w:ind w:left="4320" w:hanging="360"/>
      </w:pPr>
    </w:lvl>
    <w:lvl w:ilvl="6" w:tplc="790ADDC0">
      <w:start w:val="1"/>
      <w:numFmt w:val="bullet"/>
      <w:lvlText w:val="●"/>
      <w:lvlJc w:val="left"/>
      <w:pPr>
        <w:ind w:left="5040" w:hanging="360"/>
      </w:pPr>
    </w:lvl>
    <w:lvl w:ilvl="7" w:tplc="BACCA3DE">
      <w:start w:val="1"/>
      <w:numFmt w:val="bullet"/>
      <w:lvlText w:val="●"/>
      <w:lvlJc w:val="left"/>
      <w:pPr>
        <w:ind w:left="5760" w:hanging="360"/>
      </w:pPr>
    </w:lvl>
    <w:lvl w:ilvl="8" w:tplc="FCE4724E">
      <w:start w:val="1"/>
      <w:numFmt w:val="bullet"/>
      <w:lvlText w:val="●"/>
      <w:lvlJc w:val="left"/>
      <w:pPr>
        <w:ind w:left="6480" w:hanging="360"/>
      </w:pPr>
    </w:lvl>
  </w:abstractNum>
  <w:num w:numId="1" w16cid:durableId="1989938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E7"/>
    <w:rsid w:val="00030C92"/>
    <w:rsid w:val="0003409F"/>
    <w:rsid w:val="00061D88"/>
    <w:rsid w:val="00093544"/>
    <w:rsid w:val="000B4189"/>
    <w:rsid w:val="0010398E"/>
    <w:rsid w:val="0012374E"/>
    <w:rsid w:val="00125264"/>
    <w:rsid w:val="00137DE6"/>
    <w:rsid w:val="00155998"/>
    <w:rsid w:val="001F7DE7"/>
    <w:rsid w:val="0023134F"/>
    <w:rsid w:val="00254B6C"/>
    <w:rsid w:val="00282C22"/>
    <w:rsid w:val="00286317"/>
    <w:rsid w:val="002B73F8"/>
    <w:rsid w:val="002B76AC"/>
    <w:rsid w:val="002D7638"/>
    <w:rsid w:val="002F476D"/>
    <w:rsid w:val="00306B91"/>
    <w:rsid w:val="00344318"/>
    <w:rsid w:val="00372C1D"/>
    <w:rsid w:val="003767C4"/>
    <w:rsid w:val="00380803"/>
    <w:rsid w:val="003B3BFB"/>
    <w:rsid w:val="003F3762"/>
    <w:rsid w:val="003F445C"/>
    <w:rsid w:val="00416D82"/>
    <w:rsid w:val="004325D9"/>
    <w:rsid w:val="0044106F"/>
    <w:rsid w:val="00447265"/>
    <w:rsid w:val="00483EB9"/>
    <w:rsid w:val="004A434D"/>
    <w:rsid w:val="004A709C"/>
    <w:rsid w:val="004C205C"/>
    <w:rsid w:val="004E71FA"/>
    <w:rsid w:val="00634E24"/>
    <w:rsid w:val="006556CD"/>
    <w:rsid w:val="00687558"/>
    <w:rsid w:val="00693D47"/>
    <w:rsid w:val="006A7E4D"/>
    <w:rsid w:val="00712E67"/>
    <w:rsid w:val="00754642"/>
    <w:rsid w:val="007C55D9"/>
    <w:rsid w:val="008038DC"/>
    <w:rsid w:val="00835486"/>
    <w:rsid w:val="00883C41"/>
    <w:rsid w:val="008D3B73"/>
    <w:rsid w:val="009032A6"/>
    <w:rsid w:val="009149EE"/>
    <w:rsid w:val="00946578"/>
    <w:rsid w:val="009541D8"/>
    <w:rsid w:val="00980C75"/>
    <w:rsid w:val="009A19CE"/>
    <w:rsid w:val="009B50B9"/>
    <w:rsid w:val="009E53FD"/>
    <w:rsid w:val="009F72A4"/>
    <w:rsid w:val="00A61621"/>
    <w:rsid w:val="00AE0F89"/>
    <w:rsid w:val="00B448C1"/>
    <w:rsid w:val="00B56093"/>
    <w:rsid w:val="00B6290E"/>
    <w:rsid w:val="00C12C8D"/>
    <w:rsid w:val="00C37643"/>
    <w:rsid w:val="00C66885"/>
    <w:rsid w:val="00CA5F33"/>
    <w:rsid w:val="00D321C6"/>
    <w:rsid w:val="00D53176"/>
    <w:rsid w:val="00D927AF"/>
    <w:rsid w:val="00DE3203"/>
    <w:rsid w:val="00E9611E"/>
    <w:rsid w:val="00EB11A9"/>
    <w:rsid w:val="00EE1AFC"/>
    <w:rsid w:val="00EF137D"/>
    <w:rsid w:val="00F76FAA"/>
    <w:rsid w:val="00F93C86"/>
    <w:rsid w:val="00F93D5D"/>
    <w:rsid w:val="00FD20C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DE3B5"/>
  <w15:chartTrackingRefBased/>
  <w15:docId w15:val="{BBC323AD-291A-452A-A2D0-0C31D185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DE7"/>
    <w:pPr>
      <w:spacing w:after="0" w:line="240" w:lineRule="auto"/>
    </w:pPr>
    <w:rPr>
      <w:rFonts w:ascii="Calibri" w:eastAsia="Calibri" w:hAnsi="Calibri" w:cs="Calibri"/>
      <w:kern w:val="0"/>
      <w:sz w:val="21"/>
      <w:szCs w:val="21"/>
      <w:lang w:eastAsia="en-GH"/>
      <w14:ligatures w14:val="none"/>
    </w:rPr>
  </w:style>
  <w:style w:type="paragraph" w:styleId="Heading1">
    <w:name w:val="heading 1"/>
    <w:basedOn w:val="Normal"/>
    <w:next w:val="Normal"/>
    <w:link w:val="Heading1Char"/>
    <w:uiPriority w:val="9"/>
    <w:qFormat/>
    <w:rsid w:val="0044106F"/>
    <w:pPr>
      <w:keepNext/>
      <w:keepLines/>
      <w:spacing w:before="240" w:after="120" w:line="259" w:lineRule="auto"/>
      <w:outlineLvl w:val="0"/>
    </w:pPr>
    <w:rPr>
      <w:rFonts w:ascii="Century Gothic" w:eastAsia="Cambria" w:hAnsi="Century Gothic" w:cs="Cambria"/>
      <w:b/>
      <w:bCs/>
      <w:color w:val="000000" w:themeColor="text1"/>
      <w:kern w:val="2"/>
      <w:sz w:val="30"/>
      <w:szCs w:val="30"/>
      <w:lang w:eastAsia="en-US"/>
      <w14:ligatures w14:val="standardContextual"/>
    </w:rPr>
  </w:style>
  <w:style w:type="paragraph" w:styleId="Heading2">
    <w:name w:val="heading 2"/>
    <w:basedOn w:val="Normal"/>
    <w:next w:val="Normal"/>
    <w:link w:val="Heading2Char"/>
    <w:uiPriority w:val="9"/>
    <w:unhideWhenUsed/>
    <w:qFormat/>
    <w:rsid w:val="001F7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D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D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D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06F"/>
    <w:rPr>
      <w:rFonts w:ascii="Century Gothic" w:eastAsia="Cambria" w:hAnsi="Century Gothic" w:cs="Cambria"/>
      <w:b/>
      <w:bCs/>
      <w:color w:val="000000" w:themeColor="text1"/>
      <w:sz w:val="30"/>
      <w:szCs w:val="30"/>
    </w:rPr>
  </w:style>
  <w:style w:type="character" w:customStyle="1" w:styleId="Heading2Char">
    <w:name w:val="Heading 2 Char"/>
    <w:basedOn w:val="DefaultParagraphFont"/>
    <w:link w:val="Heading2"/>
    <w:uiPriority w:val="9"/>
    <w:rsid w:val="001F7D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D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D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D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DE7"/>
    <w:rPr>
      <w:rFonts w:eastAsiaTheme="majorEastAsia" w:cstheme="majorBidi"/>
      <w:color w:val="272727" w:themeColor="text1" w:themeTint="D8"/>
    </w:rPr>
  </w:style>
  <w:style w:type="paragraph" w:styleId="Title">
    <w:name w:val="Title"/>
    <w:basedOn w:val="Normal"/>
    <w:next w:val="Normal"/>
    <w:link w:val="TitleChar"/>
    <w:uiPriority w:val="10"/>
    <w:qFormat/>
    <w:rsid w:val="001F7D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DE7"/>
    <w:pPr>
      <w:spacing w:before="160"/>
      <w:jc w:val="center"/>
    </w:pPr>
    <w:rPr>
      <w:i/>
      <w:iCs/>
      <w:color w:val="404040" w:themeColor="text1" w:themeTint="BF"/>
    </w:rPr>
  </w:style>
  <w:style w:type="character" w:customStyle="1" w:styleId="QuoteChar">
    <w:name w:val="Quote Char"/>
    <w:basedOn w:val="DefaultParagraphFont"/>
    <w:link w:val="Quote"/>
    <w:uiPriority w:val="29"/>
    <w:rsid w:val="001F7DE7"/>
    <w:rPr>
      <w:i/>
      <w:iCs/>
      <w:color w:val="404040" w:themeColor="text1" w:themeTint="BF"/>
    </w:rPr>
  </w:style>
  <w:style w:type="paragraph" w:styleId="ListParagraph">
    <w:name w:val="List Paragraph"/>
    <w:basedOn w:val="Normal"/>
    <w:qFormat/>
    <w:rsid w:val="001F7DE7"/>
    <w:pPr>
      <w:ind w:left="720"/>
      <w:contextualSpacing/>
    </w:pPr>
  </w:style>
  <w:style w:type="character" w:styleId="IntenseEmphasis">
    <w:name w:val="Intense Emphasis"/>
    <w:basedOn w:val="DefaultParagraphFont"/>
    <w:uiPriority w:val="21"/>
    <w:qFormat/>
    <w:rsid w:val="001F7DE7"/>
    <w:rPr>
      <w:i/>
      <w:iCs/>
      <w:color w:val="2F5496" w:themeColor="accent1" w:themeShade="BF"/>
    </w:rPr>
  </w:style>
  <w:style w:type="paragraph" w:styleId="IntenseQuote">
    <w:name w:val="Intense Quote"/>
    <w:basedOn w:val="Normal"/>
    <w:next w:val="Normal"/>
    <w:link w:val="IntenseQuoteChar"/>
    <w:uiPriority w:val="30"/>
    <w:qFormat/>
    <w:rsid w:val="001F7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DE7"/>
    <w:rPr>
      <w:i/>
      <w:iCs/>
      <w:color w:val="2F5496" w:themeColor="accent1" w:themeShade="BF"/>
    </w:rPr>
  </w:style>
  <w:style w:type="character" w:styleId="IntenseReference">
    <w:name w:val="Intense Reference"/>
    <w:basedOn w:val="DefaultParagraphFont"/>
    <w:uiPriority w:val="32"/>
    <w:qFormat/>
    <w:rsid w:val="001F7DE7"/>
    <w:rPr>
      <w:b/>
      <w:bCs/>
      <w:smallCaps/>
      <w:color w:val="2F5496" w:themeColor="accent1" w:themeShade="BF"/>
      <w:spacing w:val="5"/>
    </w:rPr>
  </w:style>
  <w:style w:type="character" w:styleId="Hyperlink">
    <w:name w:val="Hyperlink"/>
    <w:basedOn w:val="DefaultParagraphFont"/>
    <w:uiPriority w:val="99"/>
    <w:unhideWhenUsed/>
    <w:rsid w:val="001F7DE7"/>
    <w:rPr>
      <w:color w:val="0563C1" w:themeColor="hyperlink"/>
      <w:u w:val="single"/>
    </w:rPr>
  </w:style>
  <w:style w:type="character" w:styleId="UnresolvedMention">
    <w:name w:val="Unresolved Mention"/>
    <w:basedOn w:val="DefaultParagraphFont"/>
    <w:uiPriority w:val="99"/>
    <w:semiHidden/>
    <w:unhideWhenUsed/>
    <w:rsid w:val="001F7DE7"/>
    <w:rPr>
      <w:color w:val="605E5C"/>
      <w:shd w:val="clear" w:color="auto" w:fill="E1DFDD"/>
    </w:rPr>
  </w:style>
  <w:style w:type="paragraph" w:styleId="Header">
    <w:name w:val="header"/>
    <w:basedOn w:val="Normal"/>
    <w:link w:val="HeaderChar"/>
    <w:uiPriority w:val="99"/>
    <w:unhideWhenUsed/>
    <w:rsid w:val="0044106F"/>
    <w:pPr>
      <w:tabs>
        <w:tab w:val="center" w:pos="4513"/>
        <w:tab w:val="right" w:pos="9026"/>
      </w:tabs>
    </w:pPr>
  </w:style>
  <w:style w:type="character" w:customStyle="1" w:styleId="HeaderChar">
    <w:name w:val="Header Char"/>
    <w:basedOn w:val="DefaultParagraphFont"/>
    <w:link w:val="Header"/>
    <w:uiPriority w:val="99"/>
    <w:rsid w:val="0044106F"/>
    <w:rPr>
      <w:rFonts w:ascii="Calibri" w:eastAsia="Calibri" w:hAnsi="Calibri" w:cs="Calibri"/>
      <w:kern w:val="0"/>
      <w:sz w:val="21"/>
      <w:szCs w:val="21"/>
      <w:lang w:val="en-GH" w:eastAsia="en-GH"/>
      <w14:ligatures w14:val="none"/>
    </w:rPr>
  </w:style>
  <w:style w:type="paragraph" w:styleId="Footer">
    <w:name w:val="footer"/>
    <w:basedOn w:val="Normal"/>
    <w:link w:val="FooterChar"/>
    <w:uiPriority w:val="99"/>
    <w:unhideWhenUsed/>
    <w:rsid w:val="0044106F"/>
    <w:pPr>
      <w:tabs>
        <w:tab w:val="center" w:pos="4513"/>
        <w:tab w:val="right" w:pos="9026"/>
      </w:tabs>
    </w:pPr>
  </w:style>
  <w:style w:type="character" w:customStyle="1" w:styleId="FooterChar">
    <w:name w:val="Footer Char"/>
    <w:basedOn w:val="DefaultParagraphFont"/>
    <w:link w:val="Footer"/>
    <w:uiPriority w:val="99"/>
    <w:rsid w:val="0044106F"/>
    <w:rPr>
      <w:rFonts w:ascii="Calibri" w:eastAsia="Calibri" w:hAnsi="Calibri" w:cs="Calibri"/>
      <w:kern w:val="0"/>
      <w:sz w:val="21"/>
      <w:szCs w:val="21"/>
      <w:lang w:val="en-GH" w:eastAsia="en-GH"/>
      <w14:ligatures w14:val="none"/>
    </w:rPr>
  </w:style>
  <w:style w:type="paragraph" w:styleId="NoSpacing">
    <w:name w:val="No Spacing"/>
    <w:uiPriority w:val="1"/>
    <w:qFormat/>
    <w:rsid w:val="0044106F"/>
    <w:pPr>
      <w:spacing w:after="0" w:line="240" w:lineRule="auto"/>
    </w:pPr>
    <w:rPr>
      <w:rFonts w:ascii="Calibri" w:eastAsia="Calibri" w:hAnsi="Calibri" w:cs="Calibri"/>
      <w:kern w:val="0"/>
      <w:sz w:val="21"/>
      <w:szCs w:val="21"/>
      <w:lang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49/itr2.12316"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2135</Words>
  <Characters>12172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Terrence Binful</dc:creator>
  <cp:keywords/>
  <dc:description/>
  <cp:lastModifiedBy>Terrence Binful</cp:lastModifiedBy>
  <cp:revision>4</cp:revision>
  <dcterms:created xsi:type="dcterms:W3CDTF">2026-08-02T23:57:00Z</dcterms:created>
  <dcterms:modified xsi:type="dcterms:W3CDTF">2026-08-03T21:54:00Z</dcterms:modified>
</cp:coreProperties>
</file>