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start"/>
      </w:pPr>
      <w:r>
        <w:drawing>
          <wp:inline>
            <wp:extent cx="1345223" cy="1008917"/>
            <wp:docPr id="0" name="Drawing 0" descr="8e12a4fb0318c34b1275cdd7f69c3ee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e12a4fb0318c34b1275cdd7f69c3ee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345223" cy="10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POVIEW.AI Project Plan and Risk Register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Timeline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April 2025 - March 2026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TRL 3 (Completed) – Concept Validation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Objective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Test and validate the initial concept using OpenAI's general model with sample client data.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Key Tasks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Process data samples from Product Documents, Marketing Collateral, and Client Statements.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Dependencies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N/A (Initial Phase).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TRL 4 (April 2025 - May 2025) – Dataset Acquisition and Model Architecture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Objective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Acquire a full training dataset, cleanse it, and implement the model architecture.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Key Tasks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Data acquisition and cleansing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Model architecture selection and implementation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Initial UX scoping and design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Dependencies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Completion of TRL 3 validation phase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Full acquisition of the training dataset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Risks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Potential delays in data acquisition; challenges in finding suitable resources.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TRL 5 (June 2025 - October 2025) – Model Training and UX Development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Objective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Train the model, conduct quality assurance, and refine the UX.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Key Tasks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Model training with curated datasets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Evaluation and optimization of content governance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Initial development of UX/application based on model insights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Dependencies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Successful completion of TRL 4 dataset acquisition and model architecture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Risks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Resource availability; significant issues during beta testing; UX adjustments.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TRL 6 (November 2025 - March 2026) – Final Testing and Beta Phase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Objective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Conduct legal and governance checks, beta testing, and finalize UX.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Key Tasks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Legal and regulatory compliance validation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Beta testing with partner feedback loops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Final UX and application development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Dependencies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Completion of TRL 5 model training and initial UX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Risks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Compliance challenges; delays or issues with beta tester feedback; resource availability.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 xml:space="preserve"> Initial Commercial Launch (March 2026 onwards)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Objective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Launch with initial partner customers, onboard additional clients, and refine the application.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Key Tasks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Partner onboarding and customer support setup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Execution of go-to-market plan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Planning for V2 UX/application based on feedback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Dependencies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Completion of TRL 6 and beta feedback incorporation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Risks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: Market entry challenges; onboarding issues; skilled resources demand.
</w:t>
      </w:r>
    </w:p>
    <w:p>
      <w:pPr>
        <w:spacing w:after="120" w:before="120"/>
        <w:jc w:val="center"/>
      </w:pPr>
      <w:r>
        <w:drawing>
          <wp:inline>
            <wp:extent cx="5734050" cy="1736142"/>
            <wp:docPr id="1" name="Drawing 1" descr="f501475b4cd4b519ca1fbc81956f92e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501475b4cd4b519ca1fbc81956f92ee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19466" r="0" b="2061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7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Italics" w:hAnsi="Canva Sans Italics" w:cs="Canva Sans Italics" w:eastAsia="Canva Sans Italics"/>
          <w:i/>
          <w:iCs/>
          <w:color w:val="000000"/>
          <w:sz w:val="20"/>
          <w:szCs w:val="20"/>
        </w:rPr>
        <w:t xml:space="preserve">We have allowed 5 months of contingency given the highly complex nature of AI development projects and to allow staff to take leave.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0"/>
          <w:szCs w:val="20"/>
        </w:rPr>
        <w:t>Risk Register</w:t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1505"/>
        <w:gridCol w:w="953"/>
        <w:gridCol w:w="1028"/>
        <w:gridCol w:w="702"/>
        <w:gridCol w:w="1329"/>
        <w:gridCol w:w="3511"/>
      </w:tblGrid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Risk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Type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Likelihood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Impact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Mitigation Strategy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Interdependencies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Data Acquisition Delays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Technical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Medium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High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Formal data-sharing agreements with partners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Essential for TRL 4 dataset preparation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Right People Resources Availability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Managerial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Medium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High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Advance hiring strategy and use of external networks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Affects all TRLs and launch phases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Model Training Challenges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Technical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High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High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Implement iterative feedback and fallback models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Dependent on TRL 4 data acquisition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Significant Issues in Beta Testing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Technical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Medium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High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Allocate extra testing time; proactive issue tracking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Affects TRL 5-6 completion and timeline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Legal and Compliance Issues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Legal/Commercial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Medium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High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Engage legal counsel from project start, adhere to Consumer Duty guidelines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Linked to TRL 6 completion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Customer Onboarding Delays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Commercial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Medium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Medium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Develop customer support resources in advance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Essential for successful initial launch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</w:tr>
      <w:tr>
        <w:tc>
          <w:tcPr>
            <w:tcW w:w="150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Environmental Impact</w:t>
            </w:r>
            <w:r>
              <w:rPr>
                <w:rFonts w:ascii="Canva Sans" w:hAnsi="Canva Sans" w:cs="Canva Sans" w:eastAsia="Canva Sans"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953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Environmental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028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Low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70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Medium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132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Minimize energy use through cloud-based infrastructure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  <w:tc>
          <w:tcPr>
            <w:tcW w:w="3511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18"/>
                <w:szCs w:val="18"/>
              </w:rPr>
              <w:t>Not directly interdependent</w:t>
            </w: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2"/>
                <w:szCs w:val="22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 Medium Italics">
    <w:panose1 w:val="020B0603030501040103"/>
    <w:charset w:characterSet="1"/>
    <w:embedBoldItalic r:id="rId5"/>
  </w:font>
  <w:font w:name="Canva Sans Medium">
    <w:panose1 w:val="020B0603030501040103"/>
    <w:charset w:characterSet="1"/>
    <w:embedBold r:id="rId6"/>
  </w:font>
  <w:font w:name="Canva Sans">
    <w:panose1 w:val="020B0503030501040103"/>
    <w:charset w:characterSet="1"/>
    <w:embedRegular r:id="rId7"/>
  </w:font>
  <w:font w:name="Canva Sans Italics">
    <w:panose1 w:val="020B0503030501040103"/>
    <w:charset w:characterSet="1"/>
    <w:embedItalic r:id="rId8"/>
  </w:font>
  <w:font w:name="Canva Sans Bold Italics">
    <w:panose1 w:val="020B0803030501040103"/>
    <w:charset w:characterSet="1"/>
    <w:embedBoldItalic r:id="rId9"/>
  </w:font>
  <w:font w:name="Canva Sans Bold">
    <w:panose1 w:val="020B08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2024-11-07T15:46:13Z</dcterms:created>
  <dc:creator>Apache POI</dc:creator>
</cp:coreProperties>
</file>