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555555"/>
          <w:sz w:val="28"/>
          <w:szCs w:val="28"/>
        </w:rPr>
        <w:t xml:space="preserve">LAB REPORT</w:t>
      </w:r>
    </w:p>
    <w:p>
      <w:pPr>
        <w:spacing w:after="200" w:before="200"/>
        <w:jc w:val="center"/>
      </w:pPr>
      <w:r>
        <w:rPr>
          <w:rFonts w:ascii="Calibri" w:cs="Calibri" w:eastAsia="Calibri" w:hAnsi="Calibri"/>
          <w:b/>
          <w:bCs/>
          <w:color w:val="1F3864"/>
          <w:sz w:val="56"/>
          <w:szCs w:val="56"/>
        </w:rPr>
        <w:t xml:space="preserve">PlagioScale</w:t>
      </w:r>
    </w:p>
    <w:p>
      <w:pPr>
        <w:spacing w:after="800"/>
        <w:jc w:val="center"/>
      </w:pPr>
      <w:r>
        <w:rPr>
          <w:rFonts w:ascii="Calibri" w:cs="Calibri" w:eastAsia="Calibri" w:hAnsi="Calibri"/>
          <w:i/>
          <w:iCs/>
          <w:color w:val="333333"/>
          <w:sz w:val="26"/>
          <w:szCs w:val="26"/>
        </w:rPr>
        <w:t xml:space="preserve">A Cloud-Native, Microservices-Based Platform for Plagiarism and AI-Generated Content Detection</w:t>
      </w:r>
    </w:p>
    <w:p>
      <w:pPr>
        <w:spacing w:before="3200"/>
      </w:pPr>
    </w:p>
    <w:p>
      <w:pPr>
        <w:jc w:val="center"/>
      </w:pPr>
      <w:r>
        <w:rPr>
          <w:rFonts w:ascii="Calibri" w:cs="Calibri" w:eastAsia="Calibri" w:hAnsi="Calibri"/>
          <w:sz w:val="22"/>
          <w:szCs w:val="22"/>
        </w:rPr>
        <w:t xml:space="preserve">Submitted by: Sweety</w:t>
      </w:r>
    </w:p>
    <w:p>
      <w:pPr>
        <w:spacing w:after="3200"/>
        <w:jc w:val="center"/>
      </w:pPr>
      <w:r>
        <w:rPr>
          <w:rFonts w:ascii="Calibri" w:cs="Calibri" w:eastAsia="Calibri" w:hAnsi="Calibri"/>
          <w:sz w:val="22"/>
          <w:szCs w:val="22"/>
        </w:rPr>
        <w:t xml:space="preserve">Date: August 26, 2026</w:t>
      </w:r>
    </w:p>
    <w:p>
      <w:r>
        <w:br w:type="page"/>
      </w:r>
    </w:p>
    <w:p>
      <w:pPr>
        <w:pStyle w:val="Heading1"/>
        <w:spacing w:after="160" w:before="320"/>
      </w:pPr>
      <w:r>
        <w:t xml:space="preserve">Abstract</w:t>
      </w:r>
    </w:p>
    <w:p>
      <w:pPr>
        <w:spacing w:after="160" w:line="276"/>
      </w:pPr>
      <w:r>
        <w:rPr>
          <w:rFonts w:ascii="Calibri" w:cs="Calibri" w:eastAsia="Calibri" w:hAnsi="Calibri"/>
          <w:sz w:val="22"/>
          <w:szCs w:val="22"/>
        </w:rPr>
        <w:t xml:space="preserve">PlagioScale is a self-hosted, cloud-native platform for detecting academic dishonesty, combining two independent capabilities: pairwise content-similarity scoring across student submissions and AI-generated content detection. The system is built as a set of eleven Docker Compose services spanning a FastAPI backend, a background worker pool, a Docker-socket-driven autoscaler, a monitoring dashboard, a React single-page frontend, PostgreSQL, Redis, and a Prometheus/Grafana/Alertmanager observability stack. Similarity scoring blends TF-IDF (42.5%), Sentence-BERT semantic embeddings (42.5%), and Jaccard bigram overlap (15%), while AI-content detection composites a RoBERTa classifier (50%), DistilGPT2 perplexity and burstiness (30%), and five stylometric features (20%). The platform demonstrates autoscaling, self-healing, JWT/CSRF-protected authentication, and a 183-test automated suite, while remaining limited to single-host deployment, pre-trained (non-fine-tuned) models, and English-only text processing. This report documents the problem motivating the system, its architecture and algorithms, implementation details, evaluation results, and directions for future work.</w:t>
      </w:r>
    </w:p>
    <w:p>
      <w:pPr>
        <w:pStyle w:val="Heading1"/>
        <w:spacing w:after="160" w:before="320"/>
      </w:pPr>
      <w:r>
        <w:t xml:space="preserve">Table of Contents</w:t>
      </w:r>
    </w:p>
    <w:p>
      <w:pPr>
        <w:spacing w:after="140"/>
      </w:pPr>
      <w:r>
        <w:rPr>
          <w:rFonts w:ascii="Calibri" w:cs="Calibri" w:eastAsia="Calibri" w:hAnsi="Calibri"/>
          <w:sz w:val="22"/>
          <w:szCs w:val="22"/>
        </w:rPr>
        <w:t xml:space="preserve">1. Introduction</w:t>
      </w:r>
    </w:p>
    <w:p>
      <w:pPr>
        <w:spacing w:after="140"/>
      </w:pPr>
      <w:r>
        <w:rPr>
          <w:rFonts w:ascii="Calibri" w:cs="Calibri" w:eastAsia="Calibri" w:hAnsi="Calibri"/>
          <w:sz w:val="22"/>
          <w:szCs w:val="22"/>
        </w:rPr>
        <w:t xml:space="preserve">2. System Architecture</w:t>
      </w:r>
    </w:p>
    <w:p>
      <w:pPr>
        <w:spacing w:after="140"/>
      </w:pPr>
      <w:r>
        <w:rPr>
          <w:rFonts w:ascii="Calibri" w:cs="Calibri" w:eastAsia="Calibri" w:hAnsi="Calibri"/>
          <w:sz w:val="22"/>
          <w:szCs w:val="22"/>
        </w:rPr>
        <w:t xml:space="preserve">3. Technology Stack</w:t>
      </w:r>
    </w:p>
    <w:p>
      <w:pPr>
        <w:spacing w:after="140"/>
      </w:pPr>
      <w:r>
        <w:rPr>
          <w:rFonts w:ascii="Calibri" w:cs="Calibri" w:eastAsia="Calibri" w:hAnsi="Calibri"/>
          <w:sz w:val="22"/>
          <w:szCs w:val="22"/>
        </w:rPr>
        <w:t xml:space="preserve">4. System Components</w:t>
      </w:r>
    </w:p>
    <w:p>
      <w:pPr>
        <w:spacing w:after="140"/>
      </w:pPr>
      <w:r>
        <w:rPr>
          <w:rFonts w:ascii="Calibri" w:cs="Calibri" w:eastAsia="Calibri" w:hAnsi="Calibri"/>
          <w:sz w:val="22"/>
          <w:szCs w:val="22"/>
        </w:rPr>
        <w:t xml:space="preserve">5. Machine Learning Models and Algorithms</w:t>
      </w:r>
    </w:p>
    <w:p>
      <w:pPr>
        <w:spacing w:after="140"/>
      </w:pPr>
      <w:r>
        <w:rPr>
          <w:rFonts w:ascii="Calibri" w:cs="Calibri" w:eastAsia="Calibri" w:hAnsi="Calibri"/>
          <w:sz w:val="22"/>
          <w:szCs w:val="22"/>
        </w:rPr>
        <w:t xml:space="preserve">6. Features</w:t>
      </w:r>
    </w:p>
    <w:p>
      <w:pPr>
        <w:spacing w:after="140"/>
      </w:pPr>
      <w:r>
        <w:rPr>
          <w:rFonts w:ascii="Calibri" w:cs="Calibri" w:eastAsia="Calibri" w:hAnsi="Calibri"/>
          <w:sz w:val="22"/>
          <w:szCs w:val="22"/>
        </w:rPr>
        <w:t xml:space="preserve">7. Database Schema</w:t>
      </w:r>
    </w:p>
    <w:p>
      <w:pPr>
        <w:spacing w:after="140"/>
      </w:pPr>
      <w:r>
        <w:rPr>
          <w:rFonts w:ascii="Calibri" w:cs="Calibri" w:eastAsia="Calibri" w:hAnsi="Calibri"/>
          <w:sz w:val="22"/>
          <w:szCs w:val="22"/>
        </w:rPr>
        <w:t xml:space="preserve">8. Authentication and Security</w:t>
      </w:r>
    </w:p>
    <w:p>
      <w:pPr>
        <w:spacing w:after="140"/>
      </w:pPr>
      <w:r>
        <w:rPr>
          <w:rFonts w:ascii="Calibri" w:cs="Calibri" w:eastAsia="Calibri" w:hAnsi="Calibri"/>
          <w:sz w:val="22"/>
          <w:szCs w:val="22"/>
        </w:rPr>
        <w:t xml:space="preserve">9. Cloud-Native Features</w:t>
      </w:r>
    </w:p>
    <w:p>
      <w:pPr>
        <w:spacing w:after="140"/>
      </w:pPr>
      <w:r>
        <w:rPr>
          <w:rFonts w:ascii="Calibri" w:cs="Calibri" w:eastAsia="Calibri" w:hAnsi="Calibri"/>
          <w:sz w:val="22"/>
          <w:szCs w:val="22"/>
        </w:rPr>
        <w:t xml:space="preserve">10. Deployment and Configuration</w:t>
      </w:r>
    </w:p>
    <w:p>
      <w:pPr>
        <w:spacing w:after="140"/>
      </w:pPr>
      <w:r>
        <w:rPr>
          <w:rFonts w:ascii="Calibri" w:cs="Calibri" w:eastAsia="Calibri" w:hAnsi="Calibri"/>
          <w:sz w:val="22"/>
          <w:szCs w:val="22"/>
        </w:rPr>
        <w:t xml:space="preserve">11. Testing</w:t>
      </w:r>
    </w:p>
    <w:p>
      <w:pPr>
        <w:spacing w:after="140"/>
      </w:pPr>
      <w:r>
        <w:rPr>
          <w:rFonts w:ascii="Calibri" w:cs="Calibri" w:eastAsia="Calibri" w:hAnsi="Calibri"/>
          <w:sz w:val="22"/>
          <w:szCs w:val="22"/>
        </w:rPr>
        <w:t xml:space="preserve">12. Performance</w:t>
      </w:r>
    </w:p>
    <w:p>
      <w:pPr>
        <w:spacing w:after="140"/>
      </w:pPr>
      <w:r>
        <w:rPr>
          <w:rFonts w:ascii="Calibri" w:cs="Calibri" w:eastAsia="Calibri" w:hAnsi="Calibri"/>
          <w:sz w:val="22"/>
          <w:szCs w:val="22"/>
        </w:rPr>
        <w:t xml:space="preserve">13. Limitations</w:t>
      </w:r>
    </w:p>
    <w:p>
      <w:pPr>
        <w:spacing w:after="140"/>
      </w:pPr>
      <w:r>
        <w:rPr>
          <w:rFonts w:ascii="Calibri" w:cs="Calibri" w:eastAsia="Calibri" w:hAnsi="Calibri"/>
          <w:sz w:val="22"/>
          <w:szCs w:val="22"/>
        </w:rPr>
        <w:t xml:space="preserve">14. Future Scope</w:t>
      </w:r>
    </w:p>
    <w:p>
      <w:pPr>
        <w:spacing w:after="140"/>
      </w:pPr>
      <w:r>
        <w:rPr>
          <w:rFonts w:ascii="Calibri" w:cs="Calibri" w:eastAsia="Calibri" w:hAnsi="Calibri"/>
          <w:sz w:val="22"/>
          <w:szCs w:val="22"/>
        </w:rPr>
        <w:t xml:space="preserve">15. Alternatives Considered</w:t>
      </w:r>
    </w:p>
    <w:p>
      <w:pPr>
        <w:spacing w:after="140"/>
      </w:pPr>
      <w:r>
        <w:rPr>
          <w:rFonts w:ascii="Calibri" w:cs="Calibri" w:eastAsia="Calibri" w:hAnsi="Calibri"/>
          <w:sz w:val="22"/>
          <w:szCs w:val="22"/>
        </w:rPr>
        <w:t xml:space="preserve">16. Conclusion</w:t>
      </w:r>
    </w:p>
    <w:p>
      <w:pPr>
        <w:spacing w:after="140"/>
      </w:pPr>
      <w:r>
        <w:rPr>
          <w:rFonts w:ascii="Calibri" w:cs="Calibri" w:eastAsia="Calibri" w:hAnsi="Calibri"/>
          <w:sz w:val="22"/>
          <w:szCs w:val="22"/>
        </w:rPr>
        <w:t xml:space="preserve">17. References</w:t>
      </w:r>
    </w:p>
    <w:p>
      <w:r>
        <w:br w:type="page"/>
      </w:r>
    </w:p>
    <w:p>
      <w:pPr>
        <w:pStyle w:val="Heading1"/>
        <w:spacing w:after="160" w:before="320"/>
      </w:pPr>
      <w:r>
        <w:t xml:space="preserve">1. Introduction</w:t>
      </w:r>
    </w:p>
    <w:p>
      <w:pPr>
        <w:pStyle w:val="Heading2"/>
        <w:spacing w:after="120" w:before="260"/>
      </w:pPr>
      <w:r>
        <w:t xml:space="preserve">1.1 Project Overview</w:t>
      </w:r>
    </w:p>
    <w:p>
      <w:pPr>
        <w:spacing w:after="160" w:line="276"/>
      </w:pPr>
      <w:r>
        <w:rPr>
          <w:rFonts w:ascii="Calibri" w:cs="Calibri" w:eastAsia="Calibri" w:hAnsi="Calibri"/>
          <w:sz w:val="22"/>
          <w:szCs w:val="22"/>
        </w:rPr>
        <w:t xml:space="preserve">PlagioScale is a cloud-native, microservices-based plagiarism detection platform that runs entirely locally via Docker Compose. It detects two distinct forms of academic dishonesty: (1) content similarity, i.e. how closely two student submissions resemble one another, and (2) AI-generated content, i.e. whether a submission was likely written by a human or produced by a generative model such as ChatGPT. Instructors create assignments, students upload files, and the system automatically computes pairwise similarity matrices and AI-detection scores in the background.</w:t>
      </w:r>
    </w:p>
    <w:p>
      <w:pPr>
        <w:spacing w:after="160" w:line="276"/>
      </w:pPr>
      <w:r>
        <w:rPr>
          <w:rFonts w:ascii="Calibri" w:cs="Calibri" w:eastAsia="Calibri" w:hAnsi="Calibri"/>
          <w:sz w:val="22"/>
          <w:szCs w:val="22"/>
        </w:rPr>
        <w:t xml:space="preserve">Key differentiators of the system include:</w:t>
      </w:r>
    </w:p>
    <w:p>
      <w:pPr>
        <w:pStyle w:val="ListParagraph"/>
        <w:numPr>
          <w:ilvl w:val="0"/>
          <w:numId w:val="1"/>
        </w:numPr>
        <w:spacing w:after="80"/>
        <w:rPr>
          <w:rFonts w:ascii="Calibri" w:cs="Calibri" w:eastAsia="Calibri" w:hAnsi="Calibri"/>
          <w:sz w:val="22"/>
          <w:szCs w:val="22"/>
        </w:rPr>
      </w:pPr>
      <w:r>
        <w:t xml:space="preserve">Fully local execution — no external cloud services and no paid third-party APIs</w:t>
      </w:r>
    </w:p>
    <w:p>
      <w:pPr>
        <w:pStyle w:val="ListParagraph"/>
        <w:numPr>
          <w:ilvl w:val="0"/>
          <w:numId w:val="1"/>
        </w:numPr>
        <w:spacing w:after="80"/>
        <w:rPr>
          <w:rFonts w:ascii="Calibri" w:cs="Calibri" w:eastAsia="Calibri" w:hAnsi="Calibri"/>
          <w:sz w:val="22"/>
          <w:szCs w:val="22"/>
        </w:rPr>
      </w:pPr>
      <w:r>
        <w:t xml:space="preserve">A hybrid similarity approach combining lexical (TF-IDF), semantic (SBERT), and statistical (Jaccard) methods</w:t>
      </w:r>
    </w:p>
    <w:p>
      <w:pPr>
        <w:pStyle w:val="ListParagraph"/>
        <w:numPr>
          <w:ilvl w:val="0"/>
          <w:numId w:val="1"/>
        </w:numPr>
        <w:spacing w:after="80"/>
        <w:rPr>
          <w:rFonts w:ascii="Calibri" w:cs="Calibri" w:eastAsia="Calibri" w:hAnsi="Calibri"/>
          <w:sz w:val="22"/>
          <w:szCs w:val="22"/>
        </w:rPr>
      </w:pPr>
      <w:r>
        <w:t xml:space="preserve">A composite AI-detection approach blending a transformer classifier (RoBERTa), a perplexity model (DistilGPT2), and handcrafted stylometric features</w:t>
      </w:r>
    </w:p>
    <w:p>
      <w:pPr>
        <w:pStyle w:val="ListParagraph"/>
        <w:numPr>
          <w:ilvl w:val="0"/>
          <w:numId w:val="1"/>
        </w:numPr>
        <w:spacing w:after="80"/>
        <w:rPr>
          <w:rFonts w:ascii="Calibri" w:cs="Calibri" w:eastAsia="Calibri" w:hAnsi="Calibri"/>
          <w:sz w:val="22"/>
          <w:szCs w:val="22"/>
        </w:rPr>
      </w:pPr>
      <w:r>
        <w:t xml:space="preserve">A full microservices architecture featuring autoscaling, self-healing, and observability tooling</w:t>
      </w:r>
    </w:p>
    <w:p>
      <w:pPr>
        <w:pStyle w:val="Heading2"/>
        <w:spacing w:after="120" w:before="260"/>
      </w:pPr>
      <w:r>
        <w:t xml:space="preserve">1.2 Problem Statement</w:t>
      </w:r>
    </w:p>
    <w:p>
      <w:pPr>
        <w:spacing w:after="160" w:line="276"/>
      </w:pPr>
      <w:r>
        <w:rPr>
          <w:rFonts w:ascii="Calibri" w:cs="Calibri" w:eastAsia="Calibri" w:hAnsi="Calibri"/>
          <w:sz w:val="22"/>
          <w:szCs w:val="22"/>
        </w:rPr>
        <w:t xml:space="preserve">Academic institutions face several compounding challenges when addressing plagiarism and AI-assisted submissions:</w:t>
      </w:r>
    </w:p>
    <w:p>
      <w:pPr>
        <w:pStyle w:val="ListParagraph"/>
        <w:numPr>
          <w:ilvl w:val="0"/>
          <w:numId w:val="1"/>
        </w:numPr>
        <w:spacing w:after="80"/>
        <w:rPr>
          <w:rFonts w:ascii="Calibri" w:cs="Calibri" w:eastAsia="Calibri" w:hAnsi="Calibri"/>
          <w:sz w:val="22"/>
          <w:szCs w:val="22"/>
        </w:rPr>
      </w:pPr>
      <w:r>
        <w:t xml:space="preserve">Manual detection does not scale: checking every pair of submissions in a class of 100 students requires 4,950 pairwise comparisons.</w:t>
      </w:r>
    </w:p>
    <w:p>
      <w:pPr>
        <w:pStyle w:val="ListParagraph"/>
        <w:numPr>
          <w:ilvl w:val="0"/>
          <w:numId w:val="1"/>
        </w:numPr>
        <w:spacing w:after="80"/>
        <w:rPr>
          <w:rFonts w:ascii="Calibri" w:cs="Calibri" w:eastAsia="Calibri" w:hAnsi="Calibri"/>
          <w:sz w:val="22"/>
          <w:szCs w:val="22"/>
        </w:rPr>
      </w:pPr>
      <w:r>
        <w:t xml:space="preserve">Established commercial tools (e.g. Turnitin, Grammarly) require paid subscriptions, which not every institution can sustain.</w:t>
      </w:r>
    </w:p>
    <w:p>
      <w:pPr>
        <w:pStyle w:val="ListParagraph"/>
        <w:numPr>
          <w:ilvl w:val="0"/>
          <w:numId w:val="1"/>
        </w:numPr>
        <w:spacing w:after="80"/>
        <w:rPr>
          <w:rFonts w:ascii="Calibri" w:cs="Calibri" w:eastAsia="Calibri" w:hAnsi="Calibri"/>
          <w:sz w:val="22"/>
          <w:szCs w:val="22"/>
        </w:rPr>
      </w:pPr>
      <w:r>
        <w:t xml:space="preserve">Conventional plagiarism tools detect copied text but not AI-paraphrased or AI-generated content.</w:t>
      </w:r>
    </w:p>
    <w:p>
      <w:pPr>
        <w:pStyle w:val="ListParagraph"/>
        <w:numPr>
          <w:ilvl w:val="0"/>
          <w:numId w:val="1"/>
        </w:numPr>
        <w:spacing w:after="80"/>
        <w:rPr>
          <w:rFonts w:ascii="Calibri" w:cs="Calibri" w:eastAsia="Calibri" w:hAnsi="Calibri"/>
          <w:sz w:val="22"/>
          <w:szCs w:val="22"/>
        </w:rPr>
      </w:pPr>
      <w:r>
        <w:t xml:space="preserve">Most hosted tools require transmitting student submissions to external servers, raising data-privacy concerns.</w:t>
      </w:r>
    </w:p>
    <w:p>
      <w:pPr>
        <w:spacing w:after="160" w:line="276"/>
      </w:pPr>
      <w:r>
        <w:rPr>
          <w:rFonts w:ascii="Calibri" w:cs="Calibri" w:eastAsia="Calibri" w:hAnsi="Calibri"/>
          <w:sz w:val="22"/>
          <w:szCs w:val="22"/>
        </w:rPr>
        <w:t xml:space="preserve">PlagioScale addresses these problems with a self-hosted, open-source platform that combines multiple detection methods without relying on external services.</w:t>
      </w:r>
    </w:p>
    <w:p>
      <w:pPr>
        <w:pStyle w:val="Heading2"/>
        <w:spacing w:after="120" w:before="260"/>
      </w:pPr>
      <w:r>
        <w:t xml:space="preserve">1.3 Objectives</w:t>
      </w:r>
    </w:p>
    <w:p>
      <w:pPr>
        <w:pStyle w:val="ListParagraph"/>
        <w:numPr>
          <w:ilvl w:val="0"/>
          <w:numId w:val="1"/>
        </w:numPr>
        <w:spacing w:after="80"/>
        <w:rPr>
          <w:rFonts w:ascii="Calibri" w:cs="Calibri" w:eastAsia="Calibri" w:hAnsi="Calibri"/>
          <w:sz w:val="22"/>
          <w:szCs w:val="22"/>
        </w:rPr>
      </w:pPr>
      <w:r>
        <w:t xml:space="preserve">Build a microservices-based plagiarism detection system using Python (FastAPI) for the backend and React for the frontend.</w:t>
      </w:r>
    </w:p>
    <w:p>
      <w:pPr>
        <w:pStyle w:val="ListParagraph"/>
        <w:numPr>
          <w:ilvl w:val="0"/>
          <w:numId w:val="1"/>
        </w:numPr>
        <w:spacing w:after="80"/>
        <w:rPr>
          <w:rFonts w:ascii="Calibri" w:cs="Calibri" w:eastAsia="Calibri" w:hAnsi="Calibri"/>
          <w:sz w:val="22"/>
          <w:szCs w:val="22"/>
        </w:rPr>
      </w:pPr>
      <w:r>
        <w:t xml:space="preserve">Implement hybrid similarity scoring combining TF-IDF, SBERT, and Jaccard similarity.</w:t>
      </w:r>
    </w:p>
    <w:p>
      <w:pPr>
        <w:pStyle w:val="ListParagraph"/>
        <w:numPr>
          <w:ilvl w:val="0"/>
          <w:numId w:val="1"/>
        </w:numPr>
        <w:spacing w:after="80"/>
        <w:rPr>
          <w:rFonts w:ascii="Calibri" w:cs="Calibri" w:eastAsia="Calibri" w:hAnsi="Calibri"/>
          <w:sz w:val="22"/>
          <w:szCs w:val="22"/>
        </w:rPr>
      </w:pPr>
      <w:r>
        <w:t xml:space="preserve">Implement composite AI-content detection using a RoBERTa classifier, DistilGPT2 perplexity, and stylometric features.</w:t>
      </w:r>
    </w:p>
    <w:p>
      <w:pPr>
        <w:pStyle w:val="ListParagraph"/>
        <w:numPr>
          <w:ilvl w:val="0"/>
          <w:numId w:val="1"/>
        </w:numPr>
        <w:spacing w:after="80"/>
        <w:rPr>
          <w:rFonts w:ascii="Calibri" w:cs="Calibri" w:eastAsia="Calibri" w:hAnsi="Calibri"/>
          <w:sz w:val="22"/>
          <w:szCs w:val="22"/>
        </w:rPr>
      </w:pPr>
      <w:r>
        <w:t xml:space="preserve">Deploy the system on Docker Compose with resource limits, health checks, and restart policies.</w:t>
      </w:r>
    </w:p>
    <w:p>
      <w:pPr>
        <w:pStyle w:val="ListParagraph"/>
        <w:numPr>
          <w:ilvl w:val="0"/>
          <w:numId w:val="1"/>
        </w:numPr>
        <w:spacing w:after="80"/>
        <w:rPr>
          <w:rFonts w:ascii="Calibri" w:cs="Calibri" w:eastAsia="Calibri" w:hAnsi="Calibri"/>
          <w:sz w:val="22"/>
          <w:szCs w:val="22"/>
        </w:rPr>
      </w:pPr>
      <w:r>
        <w:t xml:space="preserve">Implement autoscaling of worker containers based on job-queue depth.</w:t>
      </w:r>
    </w:p>
    <w:p>
      <w:pPr>
        <w:pStyle w:val="ListParagraph"/>
        <w:numPr>
          <w:ilvl w:val="0"/>
          <w:numId w:val="1"/>
        </w:numPr>
        <w:spacing w:after="80"/>
        <w:rPr>
          <w:rFonts w:ascii="Calibri" w:cs="Calibri" w:eastAsia="Calibri" w:hAnsi="Calibri"/>
          <w:sz w:val="22"/>
          <w:szCs w:val="22"/>
        </w:rPr>
      </w:pPr>
      <w:r>
        <w:t xml:space="preserve">Implement self-healing mechanisms, including database reconnection, job retry, and a dead-letter queue.</w:t>
      </w:r>
    </w:p>
    <w:p>
      <w:pPr>
        <w:pStyle w:val="ListParagraph"/>
        <w:numPr>
          <w:ilvl w:val="0"/>
          <w:numId w:val="1"/>
        </w:numPr>
        <w:spacing w:after="80"/>
        <w:rPr>
          <w:rFonts w:ascii="Calibri" w:cs="Calibri" w:eastAsia="Calibri" w:hAnsi="Calibri"/>
          <w:sz w:val="22"/>
          <w:szCs w:val="22"/>
        </w:rPr>
      </w:pPr>
      <w:r>
        <w:t xml:space="preserve">Provide observability via a Prometheus and Grafana monitoring stack.</w:t>
      </w:r>
    </w:p>
    <w:p>
      <w:pPr>
        <w:pStyle w:val="ListParagraph"/>
        <w:numPr>
          <w:ilvl w:val="0"/>
          <w:numId w:val="1"/>
        </w:numPr>
        <w:spacing w:after="80"/>
        <w:rPr>
          <w:rFonts w:ascii="Calibri" w:cs="Calibri" w:eastAsia="Calibri" w:hAnsi="Calibri"/>
          <w:sz w:val="22"/>
          <w:szCs w:val="22"/>
        </w:rPr>
      </w:pPr>
      <w:r>
        <w:t xml:space="preserve">Implement secure authentication using JWT, CSRF protection, and bcrypt password hashing.</w:t>
      </w:r>
    </w:p>
    <w:p>
      <w:pPr>
        <w:pStyle w:val="Heading1"/>
        <w:spacing w:after="160" w:before="320"/>
      </w:pPr>
      <w:r>
        <w:t xml:space="preserve">2. System Architecture</w:t>
      </w:r>
    </w:p>
    <w:p>
      <w:pPr>
        <w:pStyle w:val="Heading2"/>
        <w:spacing w:after="120" w:before="260"/>
      </w:pPr>
      <w:r>
        <w:t xml:space="preserve">2.1 High-Level Architecture</w:t>
      </w:r>
    </w:p>
    <w:p>
      <w:pPr>
        <w:spacing w:after="160" w:line="276"/>
      </w:pPr>
      <w:r>
        <w:rPr>
          <w:rFonts w:ascii="Calibri" w:cs="Calibri" w:eastAsia="Calibri" w:hAnsi="Calibri"/>
          <w:sz w:val="22"/>
          <w:szCs w:val="22"/>
        </w:rPr>
        <w:t xml:space="preserve">The React frontend communicates through an Nginx reverse proxy to the FastAPI API service, which in turn coordinates with PostgreSQL, Redis, and a pool of worker containers. Redis mediates the job queue that the autoscaler and workers both observe, while the monitoring service and Prometheus scrape metrics from all core services.</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React Frontend --&gt; Nginx (3050) --&gt; API Service (8000)</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                     |                     |                 |</w:t>
      </w:r>
      <w:r>
        <w:rPr>
          <w:rFonts w:ascii="Consolas" w:cs="Consolas" w:eastAsia="Consolas" w:hAnsi="Consolas"/>
          <w:sz w:val="19"/>
          <w:szCs w:val="19"/>
        </w:rPr>
        <w:br/>
        <w:t xml:space="preserve">     Redis (6379)       PostgreSQL (5432)     Worker Service (8001)   ...</w:t>
      </w:r>
      <w:r>
        <w:rPr>
          <w:rFonts w:ascii="Consolas" w:cs="Consolas" w:eastAsia="Consolas" w:hAnsi="Consolas"/>
          <w:sz w:val="19"/>
          <w:szCs w:val="19"/>
        </w:rPr>
        <w:br/>
        <w:t xml:space="preserve">     Job Queue             Database              ML Models</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            |                  |</w:t>
      </w:r>
      <w:r>
        <w:rPr>
          <w:rFonts w:ascii="Consolas" w:cs="Consolas" w:eastAsia="Consolas" w:hAnsi="Consolas"/>
          <w:sz w:val="19"/>
          <w:szCs w:val="19"/>
        </w:rPr>
        <w:br/>
        <w:t xml:space="preserve">Autoscaler  Monitoring        Prometheus</w:t>
      </w:r>
      <w:r>
        <w:rPr>
          <w:rFonts w:ascii="Consolas" w:cs="Consolas" w:eastAsia="Consolas" w:hAnsi="Consolas"/>
          <w:sz w:val="19"/>
          <w:szCs w:val="19"/>
        </w:rPr>
        <w:br/>
        <w:t xml:space="preserve">  (8002)      (8090)            (9090)</w:t>
      </w:r>
    </w:p>
    <w:p>
      <w:pPr>
        <w:spacing w:after="240" w:before="60"/>
      </w:pPr>
      <w:r>
        <w:rPr>
          <w:rFonts w:ascii="Calibri" w:cs="Calibri" w:eastAsia="Calibri" w:hAnsi="Calibri"/>
          <w:i/>
          <w:iCs/>
          <w:color w:val="555555"/>
          <w:sz w:val="18"/>
          <w:szCs w:val="18"/>
        </w:rPr>
        <w:t xml:space="preserve">Figure 1. High-level system architecture (simplified data-flow view).</w:t>
      </w:r>
    </w:p>
    <w:p>
      <w:pPr>
        <w:pStyle w:val="Heading2"/>
        <w:spacing w:after="120" w:before="260"/>
      </w:pPr>
      <w:r>
        <w:t xml:space="preserve">2.2 Microservices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900"/>
        <w:gridCol w:w="4150"/>
      </w:tblGrid>
      <w:tr>
        <w:trPr>
          <w:tblHeader/>
        </w:trPr>
        <w:tc>
          <w:tcPr>
            <w:tcW w:type="dxa" w:w="2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Service</w:t>
            </w:r>
          </w:p>
        </w:tc>
        <w:tc>
          <w:tcPr>
            <w:tcW w:type="dxa" w:w="21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Technology</w:t>
            </w:r>
          </w:p>
        </w:tc>
        <w:tc>
          <w:tcPr>
            <w:tcW w:type="dxa" w:w="9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Port</w:t>
            </w:r>
          </w:p>
        </w:tc>
        <w:tc>
          <w:tcPr>
            <w:tcW w:type="dxa" w:w="41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Responsibility</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API Service</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FastAPI</w:t>
            </w:r>
          </w:p>
        </w:tc>
        <w:tc>
          <w:tcPr>
            <w:tcW w:type="dxa" w:w="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8000</w:t>
            </w:r>
          </w:p>
        </w:tc>
        <w:tc>
          <w:tcPr>
            <w:tcW w:type="dxa" w:w="4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REST API, authentication, CSRF, JWT, file upload, assignment management</w:t>
            </w:r>
          </w:p>
        </w:tc>
      </w:tr>
      <w:tr>
        <w:tc>
          <w:tcPr>
            <w:tcW w:type="dxa" w:w="2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Worker Service</w:t>
            </w:r>
          </w:p>
        </w:tc>
        <w:tc>
          <w:tcPr>
            <w:tcW w:type="dxa" w:w="21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w:t>
            </w:r>
          </w:p>
        </w:tc>
        <w:tc>
          <w:tcPr>
            <w:tcW w:type="dxa" w:w="9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8001</w:t>
            </w:r>
          </w:p>
        </w:tc>
        <w:tc>
          <w:tcPr>
            <w:tcW w:type="dxa" w:w="4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Background job processing — similarity computation, AI detection</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Autoscaler</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 Docker SDK</w:t>
            </w:r>
          </w:p>
        </w:tc>
        <w:tc>
          <w:tcPr>
            <w:tcW w:type="dxa" w:w="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8002</w:t>
            </w:r>
          </w:p>
        </w:tc>
        <w:tc>
          <w:tcPr>
            <w:tcW w:type="dxa" w:w="4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Monitors Redis queue depth, scales workers between 1 and 5</w:t>
            </w:r>
          </w:p>
        </w:tc>
      </w:tr>
      <w:tr>
        <w:tc>
          <w:tcPr>
            <w:tcW w:type="dxa" w:w="2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Monitoring Service</w:t>
            </w:r>
          </w:p>
        </w:tc>
        <w:tc>
          <w:tcPr>
            <w:tcW w:type="dxa" w:w="21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FastAPI</w:t>
            </w:r>
          </w:p>
        </w:tc>
        <w:tc>
          <w:tcPr>
            <w:tcW w:type="dxa" w:w="9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8090</w:t>
            </w:r>
          </w:p>
        </w:tc>
        <w:tc>
          <w:tcPr>
            <w:tcW w:type="dxa" w:w="4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Live dashboard, health grid, autoscaler event log</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React + Vite</w:t>
            </w:r>
          </w:p>
        </w:tc>
        <w:tc>
          <w:tcPr>
            <w:tcW w:type="dxa" w:w="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3050</w:t>
            </w:r>
          </w:p>
        </w:tc>
        <w:tc>
          <w:tcPr>
            <w:tcW w:type="dxa" w:w="4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SPA — dashboard, submission portal, admin panel</w:t>
            </w:r>
          </w:p>
        </w:tc>
      </w:tr>
      <w:tr>
        <w:tc>
          <w:tcPr>
            <w:tcW w:type="dxa" w:w="2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PostgreSQL</w:t>
            </w:r>
          </w:p>
        </w:tc>
        <w:tc>
          <w:tcPr>
            <w:tcW w:type="dxa" w:w="21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PostgreSQL 16</w:t>
            </w:r>
          </w:p>
        </w:tc>
        <w:tc>
          <w:tcPr>
            <w:tcW w:type="dxa" w:w="9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5432</w:t>
            </w:r>
          </w:p>
        </w:tc>
        <w:tc>
          <w:tcPr>
            <w:tcW w:type="dxa" w:w="4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Primary database — users, assignments, submissions, jobs</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Redis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Redis 7</w:t>
            </w:r>
          </w:p>
        </w:tc>
        <w:tc>
          <w:tcPr>
            <w:tcW w:type="dxa" w:w="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6379</w:t>
            </w:r>
          </w:p>
        </w:tc>
        <w:tc>
          <w:tcPr>
            <w:tcW w:type="dxa" w:w="4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Job queue, caching, autoscaler events, WebSocket pub/sub</w:t>
            </w:r>
          </w:p>
        </w:tc>
      </w:tr>
      <w:tr>
        <w:tc>
          <w:tcPr>
            <w:tcW w:type="dxa" w:w="2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Prometheus</w:t>
            </w:r>
          </w:p>
        </w:tc>
        <w:tc>
          <w:tcPr>
            <w:tcW w:type="dxa" w:w="21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Prometheus</w:t>
            </w:r>
          </w:p>
        </w:tc>
        <w:tc>
          <w:tcPr>
            <w:tcW w:type="dxa" w:w="9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9090</w:t>
            </w:r>
          </w:p>
        </w:tc>
        <w:tc>
          <w:tcPr>
            <w:tcW w:type="dxa" w:w="4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Metrics scraping from four services, five alert rules</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Grafana</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Grafana 9</w:t>
            </w:r>
          </w:p>
        </w:tc>
        <w:tc>
          <w:tcPr>
            <w:tcW w:type="dxa" w:w="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3000</w:t>
            </w:r>
          </w:p>
        </w:tc>
        <w:tc>
          <w:tcPr>
            <w:tcW w:type="dxa" w:w="4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Metrics visualization — two pre-provisioned dashboards</w:t>
            </w:r>
          </w:p>
        </w:tc>
      </w:tr>
      <w:tr>
        <w:tc>
          <w:tcPr>
            <w:tcW w:type="dxa" w:w="2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Alertmanager</w:t>
            </w:r>
          </w:p>
        </w:tc>
        <w:tc>
          <w:tcPr>
            <w:tcW w:type="dxa" w:w="21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Alertmanager</w:t>
            </w:r>
          </w:p>
        </w:tc>
        <w:tc>
          <w:tcPr>
            <w:tcW w:type="dxa" w:w="9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9093</w:t>
            </w:r>
          </w:p>
        </w:tc>
        <w:tc>
          <w:tcPr>
            <w:tcW w:type="dxa" w:w="4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Alert routing to the API webhook for auto-remediation</w:t>
            </w:r>
          </w:p>
        </w:tc>
      </w:tr>
    </w:tbl>
    <w:p>
      <w:pPr>
        <w:spacing w:after="240" w:before="60"/>
      </w:pPr>
      <w:r>
        <w:rPr>
          <w:rFonts w:ascii="Calibri" w:cs="Calibri" w:eastAsia="Calibri" w:hAnsi="Calibri"/>
          <w:i/>
          <w:iCs/>
          <w:color w:val="555555"/>
          <w:sz w:val="18"/>
          <w:szCs w:val="18"/>
        </w:rPr>
        <w:t xml:space="preserve">Table 1. The ten containerized services composing the platform (an eleventh, transient, worker-clone container is created by the autoscaler).</w:t>
      </w:r>
    </w:p>
    <w:p>
      <w:pPr>
        <w:pStyle w:val="Heading2"/>
        <w:spacing w:after="120" w:before="260"/>
      </w:pPr>
      <w:r>
        <w:t xml:space="preserve">2.3 Communication Patterns</w:t>
      </w:r>
    </w:p>
    <w:p>
      <w:pPr>
        <w:pStyle w:val="ListParagraph"/>
        <w:numPr>
          <w:ilvl w:val="0"/>
          <w:numId w:val="1"/>
        </w:numPr>
        <w:spacing w:after="80"/>
        <w:rPr>
          <w:rFonts w:ascii="Calibri" w:cs="Calibri" w:eastAsia="Calibri" w:hAnsi="Calibri"/>
          <w:sz w:val="22"/>
          <w:szCs w:val="22"/>
        </w:rPr>
      </w:pPr>
      <w:r>
        <w:t xml:space="preserve">Frontend → API: HTTP REST (JSON), plus a WebSocket channel for real-time progress updates.</w:t>
      </w:r>
    </w:p>
    <w:p>
      <w:pPr>
        <w:pStyle w:val="ListParagraph"/>
        <w:numPr>
          <w:ilvl w:val="0"/>
          <w:numId w:val="1"/>
        </w:numPr>
        <w:spacing w:after="80"/>
        <w:rPr>
          <w:rFonts w:ascii="Calibri" w:cs="Calibri" w:eastAsia="Calibri" w:hAnsi="Calibri"/>
          <w:sz w:val="22"/>
          <w:szCs w:val="22"/>
        </w:rPr>
      </w:pPr>
      <w:r>
        <w:t xml:space="preserve">API → Worker: Redis job queue using BRPOP/LPUSH.</w:t>
      </w:r>
    </w:p>
    <w:p>
      <w:pPr>
        <w:pStyle w:val="ListParagraph"/>
        <w:numPr>
          <w:ilvl w:val="0"/>
          <w:numId w:val="1"/>
        </w:numPr>
        <w:spacing w:after="80"/>
        <w:rPr>
          <w:rFonts w:ascii="Calibri" w:cs="Calibri" w:eastAsia="Calibri" w:hAnsi="Calibri"/>
          <w:sz w:val="22"/>
          <w:szCs w:val="22"/>
        </w:rPr>
      </w:pPr>
      <w:r>
        <w:t xml:space="preserve">Worker → API: HTTP POST to /portal/notify, sent fire-and-forget from a daemon thread.</w:t>
      </w:r>
    </w:p>
    <w:p>
      <w:pPr>
        <w:pStyle w:val="ListParagraph"/>
        <w:numPr>
          <w:ilvl w:val="0"/>
          <w:numId w:val="1"/>
        </w:numPr>
        <w:spacing w:after="80"/>
        <w:rPr>
          <w:rFonts w:ascii="Calibri" w:cs="Calibri" w:eastAsia="Calibri" w:hAnsi="Calibri"/>
          <w:sz w:val="22"/>
          <w:szCs w:val="22"/>
        </w:rPr>
      </w:pPr>
      <w:r>
        <w:t xml:space="preserve">Autoscaler → Docker: Docker SDK, creating or stopping worker containers via the Docker socket.</w:t>
      </w:r>
    </w:p>
    <w:p>
      <w:pPr>
        <w:pStyle w:val="ListParagraph"/>
        <w:numPr>
          <w:ilvl w:val="0"/>
          <w:numId w:val="1"/>
        </w:numPr>
        <w:spacing w:after="80"/>
        <w:rPr>
          <w:rFonts w:ascii="Calibri" w:cs="Calibri" w:eastAsia="Calibri" w:hAnsi="Calibri"/>
          <w:sz w:val="22"/>
          <w:szCs w:val="22"/>
        </w:rPr>
      </w:pPr>
      <w:r>
        <w:t xml:space="preserve">Prometheus → Services: HTTP scrape every 5 seconds.</w:t>
      </w:r>
    </w:p>
    <w:p>
      <w:pPr>
        <w:pStyle w:val="ListParagraph"/>
        <w:numPr>
          <w:ilvl w:val="0"/>
          <w:numId w:val="1"/>
        </w:numPr>
        <w:spacing w:after="80"/>
        <w:rPr>
          <w:rFonts w:ascii="Calibri" w:cs="Calibri" w:eastAsia="Calibri" w:hAnsi="Calibri"/>
          <w:sz w:val="22"/>
          <w:szCs w:val="22"/>
        </w:rPr>
      </w:pPr>
      <w:r>
        <w:t xml:space="preserve">Alertmanager → API: HTTP webhook for automated remediation.</w:t>
      </w:r>
    </w:p>
    <w:p>
      <w:pPr>
        <w:pStyle w:val="Heading1"/>
        <w:spacing w:after="160" w:before="320"/>
      </w:pPr>
      <w:r>
        <w:t xml:space="preserve">3. Technology Stack</w:t>
      </w:r>
    </w:p>
    <w:p>
      <w:pPr>
        <w:pStyle w:val="Heading2"/>
        <w:spacing w:after="120" w:before="260"/>
      </w:pPr>
      <w:r>
        <w:t xml:space="preserve">3.1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50"/>
        <w:gridCol w:w="4700"/>
      </w:tblGrid>
      <w:tr>
        <w:trPr>
          <w:tblHeader/>
        </w:trPr>
        <w:tc>
          <w:tcPr>
            <w:tcW w:type="dxa" w:w="3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Technology</w:t>
            </w:r>
          </w:p>
        </w:tc>
        <w:tc>
          <w:tcPr>
            <w:tcW w:type="dxa" w:w="16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Version</w:t>
            </w:r>
          </w:p>
        </w:tc>
        <w:tc>
          <w:tcPr>
            <w:tcW w:type="dxa" w:w="47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Purpose</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w:t>
            </w:r>
          </w:p>
        </w:tc>
        <w:tc>
          <w:tcPr>
            <w:tcW w:type="dxa" w:w="16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3.11+</w:t>
            </w:r>
          </w:p>
        </w:tc>
        <w:tc>
          <w:tcPr>
            <w:tcW w:type="dxa" w:w="4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Primary language</w:t>
            </w:r>
          </w:p>
        </w:tc>
      </w:tr>
      <w:tr>
        <w:tc>
          <w:tcPr>
            <w:tcW w:type="dxa" w:w="3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FastAPI</w:t>
            </w:r>
          </w:p>
        </w:tc>
        <w:tc>
          <w:tcPr>
            <w:tcW w:type="dxa" w:w="16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Latest</w:t>
            </w:r>
          </w:p>
        </w:tc>
        <w:tc>
          <w:tcPr>
            <w:tcW w:type="dxa" w:w="47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REST API framework</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SQLAlchemy</w:t>
            </w:r>
          </w:p>
        </w:tc>
        <w:tc>
          <w:tcPr>
            <w:tcW w:type="dxa" w:w="16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Latest</w:t>
            </w:r>
          </w:p>
        </w:tc>
        <w:tc>
          <w:tcPr>
            <w:tcW w:type="dxa" w:w="4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ORM for PostgreSQL</w:t>
            </w:r>
          </w:p>
        </w:tc>
      </w:tr>
      <w:tr>
        <w:tc>
          <w:tcPr>
            <w:tcW w:type="dxa" w:w="3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Pydantic</w:t>
            </w:r>
          </w:p>
        </w:tc>
        <w:tc>
          <w:tcPr>
            <w:tcW w:type="dxa" w:w="16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Latest</w:t>
            </w:r>
          </w:p>
        </w:tc>
        <w:tc>
          <w:tcPr>
            <w:tcW w:type="dxa" w:w="47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Request/response validation</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uvicorn</w:t>
            </w:r>
          </w:p>
        </w:tc>
        <w:tc>
          <w:tcPr>
            <w:tcW w:type="dxa" w:w="16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Latest</w:t>
            </w:r>
          </w:p>
        </w:tc>
        <w:tc>
          <w:tcPr>
            <w:tcW w:type="dxa" w:w="4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ASGI server</w:t>
            </w:r>
          </w:p>
        </w:tc>
      </w:tr>
      <w:tr>
        <w:tc>
          <w:tcPr>
            <w:tcW w:type="dxa" w:w="3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bcrypt</w:t>
            </w:r>
          </w:p>
        </w:tc>
        <w:tc>
          <w:tcPr>
            <w:tcW w:type="dxa" w:w="16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Latest</w:t>
            </w:r>
          </w:p>
        </w:tc>
        <w:tc>
          <w:tcPr>
            <w:tcW w:type="dxa" w:w="47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Password hashing</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PyJWT</w:t>
            </w:r>
          </w:p>
        </w:tc>
        <w:tc>
          <w:tcPr>
            <w:tcW w:type="dxa" w:w="16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Latest</w:t>
            </w:r>
          </w:p>
        </w:tc>
        <w:tc>
          <w:tcPr>
            <w:tcW w:type="dxa" w:w="4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JWT token generation and verification</w:t>
            </w:r>
          </w:p>
        </w:tc>
      </w:tr>
    </w:tbl>
    <w:p>
      <w:pPr>
        <w:pStyle w:val="Heading2"/>
        <w:spacing w:after="120" w:before="260"/>
      </w:pPr>
      <w:r>
        <w:t xml:space="preserve">3.2 Machine Learning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50"/>
      </w:tblGrid>
      <w:tr>
        <w:trPr>
          <w:tblHeader/>
        </w:trPr>
        <w:tc>
          <w:tcPr>
            <w:tcW w:type="dxa" w:w="28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Technology</w:t>
            </w:r>
          </w:p>
        </w:tc>
        <w:tc>
          <w:tcPr>
            <w:tcW w:type="dxa" w:w="3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Model</w:t>
            </w:r>
          </w:p>
        </w:tc>
        <w:tc>
          <w:tcPr>
            <w:tcW w:type="dxa" w:w="31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Purpose</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sentence-transformers</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all-MiniLM-L12-v2</w:t>
            </w:r>
          </w:p>
        </w:tc>
        <w:tc>
          <w:tcPr>
            <w:tcW w:type="dxa" w:w="3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Semantic similarity (SBERT)</w:t>
            </w:r>
          </w:p>
        </w:tc>
      </w:tr>
      <w:tr>
        <w:tc>
          <w:tcPr>
            <w:tcW w:type="dxa" w:w="28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scikit-learn</w:t>
            </w:r>
          </w:p>
        </w:tc>
        <w:tc>
          <w:tcPr>
            <w:tcW w:type="dxa" w:w="3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TfidfVectorizer</w:t>
            </w:r>
          </w:p>
        </w:tc>
        <w:tc>
          <w:tcPr>
            <w:tcW w:type="dxa" w:w="3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Lexical similarity (TF-IDF)</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transformers (HuggingFace)</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Hello-SimpleAI/chatgpt-detector-roberta</w:t>
            </w:r>
          </w:p>
        </w:tc>
        <w:tc>
          <w:tcPr>
            <w:tcW w:type="dxa" w:w="3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AI text classification</w:t>
            </w:r>
          </w:p>
        </w:tc>
      </w:tr>
      <w:tr>
        <w:tc>
          <w:tcPr>
            <w:tcW w:type="dxa" w:w="28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transformers (HuggingFace)</w:t>
            </w:r>
          </w:p>
        </w:tc>
        <w:tc>
          <w:tcPr>
            <w:tcW w:type="dxa" w:w="3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distilgpt2</w:t>
            </w:r>
          </w:p>
        </w:tc>
        <w:tc>
          <w:tcPr>
            <w:tcW w:type="dxa" w:w="3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Perplexity-based AI detection</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NumPy</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3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Vector operations, cosine similarity</w:t>
            </w:r>
          </w:p>
        </w:tc>
      </w:tr>
      <w:tr>
        <w:tc>
          <w:tcPr>
            <w:tcW w:type="dxa" w:w="28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PyTorch</w:t>
            </w:r>
          </w:p>
        </w:tc>
        <w:tc>
          <w:tcPr>
            <w:tcW w:type="dxa" w:w="3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c>
          <w:tcPr>
            <w:tcW w:type="dxa" w:w="3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 for ML models</w:t>
            </w:r>
          </w:p>
        </w:tc>
      </w:tr>
    </w:tbl>
    <w:p>
      <w:pPr>
        <w:pStyle w:val="Heading2"/>
        <w:spacing w:after="120" w:before="260"/>
      </w:pPr>
      <w:r>
        <w:t xml:space="preserve">3.3 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tcW w:type="dxa" w:w="4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Technology</w:t>
            </w:r>
          </w:p>
        </w:tc>
        <w:tc>
          <w:tcPr>
            <w:tcW w:type="dxa" w:w="53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Purpose</w:t>
            </w:r>
          </w:p>
        </w:tc>
      </w:tr>
      <w:tr>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React 18</w:t>
            </w:r>
          </w:p>
        </w:tc>
        <w:tc>
          <w:tcPr>
            <w:tcW w:type="dxa" w:w="5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UI framework</w:t>
            </w:r>
          </w:p>
        </w:tc>
      </w:tr>
      <w:tr>
        <w:tc>
          <w:tcPr>
            <w:tcW w:type="dxa" w:w="4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Vite</w:t>
            </w:r>
          </w:p>
        </w:tc>
        <w:tc>
          <w:tcPr>
            <w:tcW w:type="dxa" w:w="5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Build tool</w:t>
            </w:r>
          </w:p>
        </w:tc>
      </w:tr>
      <w:tr>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React Router</w:t>
            </w:r>
          </w:p>
        </w:tc>
        <w:tc>
          <w:tcPr>
            <w:tcW w:type="dxa" w:w="5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Client-side routing</w:t>
            </w:r>
          </w:p>
        </w:tc>
      </w:tr>
      <w:tr>
        <w:tc>
          <w:tcPr>
            <w:tcW w:type="dxa" w:w="4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Nginx</w:t>
            </w:r>
          </w:p>
        </w:tc>
        <w:tc>
          <w:tcPr>
            <w:tcW w:type="dxa" w:w="5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Static file serving, reverse proxy</w:t>
            </w:r>
          </w:p>
        </w:tc>
      </w:tr>
    </w:tbl>
    <w:p>
      <w:pPr>
        <w:pStyle w:val="Heading2"/>
        <w:spacing w:after="120" w:before="260"/>
      </w:pPr>
      <w:r>
        <w:t xml:space="preserve">3.4 Infrastructure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tcW w:type="dxa" w:w="4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Technology</w:t>
            </w:r>
          </w:p>
        </w:tc>
        <w:tc>
          <w:tcPr>
            <w:tcW w:type="dxa" w:w="53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Purpose</w:t>
            </w:r>
          </w:p>
        </w:tc>
      </w:tr>
      <w:tr>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Docker</w:t>
            </w:r>
          </w:p>
        </w:tc>
        <w:tc>
          <w:tcPr>
            <w:tcW w:type="dxa" w:w="5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Containerization</w:t>
            </w:r>
          </w:p>
        </w:tc>
      </w:tr>
      <w:tr>
        <w:tc>
          <w:tcPr>
            <w:tcW w:type="dxa" w:w="4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Docker Compose</w:t>
            </w:r>
          </w:p>
        </w:tc>
        <w:tc>
          <w:tcPr>
            <w:tcW w:type="dxa" w:w="5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Multi-container orchestration</w:t>
            </w:r>
          </w:p>
        </w:tc>
      </w:tr>
      <w:tr>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PostgreSQL 16</w:t>
            </w:r>
          </w:p>
        </w:tc>
        <w:tc>
          <w:tcPr>
            <w:tcW w:type="dxa" w:w="5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Relational database</w:t>
            </w:r>
          </w:p>
        </w:tc>
      </w:tr>
      <w:tr>
        <w:tc>
          <w:tcPr>
            <w:tcW w:type="dxa" w:w="4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Redis 7</w:t>
            </w:r>
          </w:p>
        </w:tc>
        <w:tc>
          <w:tcPr>
            <w:tcW w:type="dxa" w:w="5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Job queue, caching</w:t>
            </w:r>
          </w:p>
        </w:tc>
      </w:tr>
      <w:tr>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Prometheus</w:t>
            </w:r>
          </w:p>
        </w:tc>
        <w:tc>
          <w:tcPr>
            <w:tcW w:type="dxa" w:w="5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Metrics collection</w:t>
            </w:r>
          </w:p>
        </w:tc>
      </w:tr>
      <w:tr>
        <w:tc>
          <w:tcPr>
            <w:tcW w:type="dxa" w:w="4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Grafana</w:t>
            </w:r>
          </w:p>
        </w:tc>
        <w:tc>
          <w:tcPr>
            <w:tcW w:type="dxa" w:w="5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Metrics visualization</w:t>
            </w:r>
          </w:p>
        </w:tc>
      </w:tr>
      <w:tr>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Alertmanager</w:t>
            </w:r>
          </w:p>
        </w:tc>
        <w:tc>
          <w:tcPr>
            <w:tcW w:type="dxa" w:w="5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Alert routing</w:t>
            </w:r>
          </w:p>
        </w:tc>
      </w:tr>
    </w:tbl>
    <w:p>
      <w:pPr>
        <w:pStyle w:val="Heading2"/>
        <w:spacing w:after="120" w:before="260"/>
      </w:pPr>
      <w:r>
        <w:t xml:space="preserve">3.5 Text Extraction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tcW w:type="dxa" w:w="4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Library</w:t>
            </w:r>
          </w:p>
        </w:tc>
        <w:tc>
          <w:tcPr>
            <w:tcW w:type="dxa" w:w="53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Purpose</w:t>
            </w:r>
          </w:p>
        </w:tc>
      </w:tr>
      <w:tr>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pypdf</w:t>
            </w:r>
          </w:p>
        </w:tc>
        <w:tc>
          <w:tcPr>
            <w:tcW w:type="dxa" w:w="5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PDF text extraction</w:t>
            </w:r>
          </w:p>
        </w:tc>
      </w:tr>
      <w:tr>
        <w:tc>
          <w:tcPr>
            <w:tcW w:type="dxa" w:w="4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python-docx</w:t>
            </w:r>
          </w:p>
        </w:tc>
        <w:tc>
          <w:tcPr>
            <w:tcW w:type="dxa" w:w="5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DOCX text extraction</w:t>
            </w:r>
          </w:p>
        </w:tc>
      </w:tr>
      <w:tr>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pytesseract</w:t>
            </w:r>
          </w:p>
        </w:tc>
        <w:tc>
          <w:tcPr>
            <w:tcW w:type="dxa" w:w="5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OCR for scanned documents</w:t>
            </w:r>
          </w:p>
        </w:tc>
      </w:tr>
      <w:tr>
        <w:tc>
          <w:tcPr>
            <w:tcW w:type="dxa" w:w="4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pdf2image</w:t>
            </w:r>
          </w:p>
        </w:tc>
        <w:tc>
          <w:tcPr>
            <w:tcW w:type="dxa" w:w="5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Convert scanned PDFs to images</w:t>
            </w:r>
          </w:p>
        </w:tc>
      </w:tr>
    </w:tbl>
    <w:p>
      <w:pPr>
        <w:pStyle w:val="Heading1"/>
        <w:spacing w:after="160" w:before="320"/>
      </w:pPr>
      <w:r>
        <w:t xml:space="preserve">4. System Components</w:t>
      </w:r>
    </w:p>
    <w:p>
      <w:pPr>
        <w:pStyle w:val="Heading2"/>
        <w:spacing w:after="120" w:before="260"/>
      </w:pPr>
      <w:r>
        <w:t xml:space="preserve">4.1 API Service (FastAPI)</w:t>
      </w:r>
    </w:p>
    <w:p>
      <w:pPr>
        <w:spacing w:after="160" w:line="276"/>
      </w:pPr>
      <w:r>
        <w:rPr>
          <w:rFonts w:ascii="Calibri" w:cs="Calibri" w:eastAsia="Calibri" w:hAnsi="Calibri"/>
          <w:sz w:val="22"/>
          <w:szCs w:val="22"/>
        </w:rPr>
        <w:t xml:space="preserve">Implemented in api-service/main.py (approximately 1,865 lines), the API service is the central hub of the platform. It handles authentication (signup, login, JWT management, CSRF protection), assignment management (create, rename, delete, access codes), file upload (PDF, DOCX, TXT via multipart form), job enqueueing (automatically triggering AI-detection and similarity jobs once two or more submissions exist), similarity-matrix retrieval, on-demand PDF report generation, real-time progress updates over WebSocket, and an admin panel for user management, role changes, and audit logging. The service exposes 40 endpoints in total: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Category</w:t>
            </w:r>
          </w:p>
        </w:tc>
        <w:tc>
          <w:tcPr>
            <w:tcW w:type="dxa" w:w="73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Endpoints</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w:t>
            </w:r>
          </w:p>
        </w:tc>
        <w:tc>
          <w:tcPr>
            <w:tcW w:type="dxa" w:w="7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/auth/signup, /auth/login, /auth/refresh, /auth/logout, /auth/me</w:t>
            </w:r>
          </w:p>
        </w:tc>
      </w:tr>
      <w:tr>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Assignments</w:t>
            </w:r>
          </w:p>
        </w:tc>
        <w:tc>
          <w:tcPr>
            <w:tcW w:type="dxa" w:w="7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/portal/assignments (CRUD), /portal/submit, /portal/compute-similarity/{id}</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Results</w:t>
            </w:r>
          </w:p>
        </w:tc>
        <w:tc>
          <w:tcPr>
            <w:tcW w:type="dxa" w:w="7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/portal/similarity-matrix/{id}, /portal/report/{id}/{sub1}/{sub2}</w:t>
            </w:r>
          </w:p>
        </w:tc>
      </w:tr>
      <w:tr>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Student</w:t>
            </w:r>
          </w:p>
        </w:tc>
        <w:tc>
          <w:tcPr>
            <w:tcW w:type="dxa" w:w="7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/portal/my, /portal/self-check, /portal/student-comparison/{id}</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Admin</w:t>
            </w:r>
          </w:p>
        </w:tc>
        <w:tc>
          <w:tcPr>
            <w:tcW w:type="dxa" w:w="73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/admin/stats, /admin/users, /admin/audit/tail</w:t>
            </w:r>
          </w:p>
        </w:tc>
      </w:tr>
      <w:tr>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System</w:t>
            </w:r>
          </w:p>
        </w:tc>
        <w:tc>
          <w:tcPr>
            <w:tcW w:type="dxa" w:w="73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/health, /metrics, /queue/stats</w:t>
            </w:r>
          </w:p>
        </w:tc>
      </w:tr>
    </w:tbl>
    <w:p>
      <w:pPr>
        <w:pStyle w:val="Heading2"/>
        <w:spacing w:after="120" w:before="260"/>
      </w:pPr>
      <w:r>
        <w:t xml:space="preserve">4.2 Worker Service</w:t>
      </w:r>
    </w:p>
    <w:p>
      <w:pPr>
        <w:spacing w:after="160" w:line="276"/>
      </w:pPr>
      <w:r>
        <w:rPr>
          <w:rFonts w:ascii="Calibri" w:cs="Calibri" w:eastAsia="Calibri" w:hAnsi="Calibri"/>
          <w:sz w:val="22"/>
          <w:szCs w:val="22"/>
        </w:rPr>
        <w:t xml:space="preserve">Implemented in worker-service/worker.py (approximately 515 lines), the worker is a single-process background job processor operating in four stages: it dequeues jobs with a blocking Redis BRPOP (5-second timeout), routes each job by type (AI_DETECTION or BATCH_COMPUTE), processes it — extracting text and either running the AI detector or adding the text to the hybrid similarity scorer — and finally notifies the API of progress via a fire-and-forget HTTP POST. Failed jobs are re-enqueued up to three times before being moved to a dead-letter queue. Workers pre-load ML models (SBERT, DistilGPT2) at startup to avoid cold-start delay, use a thread-safe AI-detector singleton with double-checked locking, apply a 120-second timeout to AI detection via a thread pool, skip already-scored submissions on retry for idempotency, and expose Prometheus metrics on port 8001.</w:t>
      </w:r>
    </w:p>
    <w:p>
      <w:pPr>
        <w:pStyle w:val="Heading2"/>
        <w:spacing w:after="120" w:before="260"/>
      </w:pPr>
      <w:r>
        <w:t xml:space="preserve">4.3 Autoscaler</w:t>
      </w:r>
    </w:p>
    <w:p>
      <w:pPr>
        <w:spacing w:after="160" w:line="276"/>
      </w:pPr>
      <w:r>
        <w:rPr>
          <w:rFonts w:ascii="Calibri" w:cs="Calibri" w:eastAsia="Calibri" w:hAnsi="Calibri"/>
          <w:sz w:val="22"/>
          <w:szCs w:val="22"/>
        </w:rPr>
        <w:t xml:space="preserve">Implemented in autoscaler/autoscaler.py (approximately 321 lines), the autoscaler runs in its own container with access to the Docker socket. Its scaling algorithm polls the Redis queue depth every five seconds: if the queue length exceeds 10 and fewer than 5 workers are running, it scales up by one worker; if the queue length drops below 3 and more than 1 worker is running, it scales down by one. A 20-second cooldown separates scaling events, and the step size is conservatively fixed at one worker per tick. Scaling up clones the template worker container via the Docker API, copying its environment, networks, mounts, and image; scaling down stops the most recently created workers first (sorted by start time), applying a 10-second stop timeout before removal.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50"/>
      </w:tblGrid>
      <w:tr>
        <w:trPr>
          <w:tblHeader/>
        </w:trPr>
        <w:tc>
          <w:tcPr>
            <w:tcW w:type="dxa" w:w="3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Variable</w:t>
            </w:r>
          </w:p>
        </w:tc>
        <w:tc>
          <w:tcPr>
            <w:tcW w:type="dxa" w:w="1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Default</w:t>
            </w:r>
          </w:p>
        </w:tc>
        <w:tc>
          <w:tcPr>
            <w:tcW w:type="dxa" w:w="45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Purpose</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SCALE_UP_THRESHOLD</w:t>
            </w:r>
          </w:p>
        </w:tc>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10</w:t>
            </w:r>
          </w:p>
        </w:tc>
        <w:tc>
          <w:tcPr>
            <w:tcW w:type="dxa" w:w="45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Queue depth that triggers a scale-up</w:t>
            </w:r>
          </w:p>
        </w:tc>
      </w:tr>
      <w:tr>
        <w:tc>
          <w:tcPr>
            <w:tcW w:type="dxa" w:w="3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SCALE_DOWN_THRESHOLD</w:t>
            </w:r>
          </w:p>
        </w:tc>
        <w:tc>
          <w:tcPr>
            <w:tcW w:type="dxa" w:w="1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dxa" w:w="45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Queue depth that triggers a scale-down</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MIN_WORKERS</w:t>
            </w:r>
          </w:p>
        </w:tc>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w:t>
            </w:r>
          </w:p>
        </w:tc>
        <w:tc>
          <w:tcPr>
            <w:tcW w:type="dxa" w:w="45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Minimum worker count</w:t>
            </w:r>
          </w:p>
        </w:tc>
      </w:tr>
      <w:tr>
        <w:tc>
          <w:tcPr>
            <w:tcW w:type="dxa" w:w="3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MAX_WORKERS</w:t>
            </w:r>
          </w:p>
        </w:tc>
        <w:tc>
          <w:tcPr>
            <w:tcW w:type="dxa" w:w="1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c>
          <w:tcPr>
            <w:tcW w:type="dxa" w:w="45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Maximum worker count</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COOLDOWN_SECONDS</w:t>
            </w:r>
          </w:p>
        </w:tc>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20</w:t>
            </w:r>
          </w:p>
        </w:tc>
        <w:tc>
          <w:tcPr>
            <w:tcW w:type="dxa" w:w="45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Minimum time between scale events</w:t>
            </w:r>
          </w:p>
        </w:tc>
      </w:tr>
      <w:tr>
        <w:tc>
          <w:tcPr>
            <w:tcW w:type="dxa" w:w="3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POLL_INTERVAL</w:t>
            </w:r>
          </w:p>
        </w:tc>
        <w:tc>
          <w:tcPr>
            <w:tcW w:type="dxa" w:w="1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c>
          <w:tcPr>
            <w:tcW w:type="dxa" w:w="45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Seconds between queue-depth checks</w:t>
            </w:r>
          </w:p>
        </w:tc>
      </w:tr>
    </w:tbl>
    <w:p>
      <w:pPr>
        <w:pStyle w:val="Heading2"/>
        <w:spacing w:after="120" w:before="260"/>
      </w:pPr>
      <w:r>
        <w:t xml:space="preserve">4.4 Monitoring Service</w:t>
      </w:r>
    </w:p>
    <w:p>
      <w:pPr>
        <w:spacing w:after="160" w:line="276"/>
      </w:pPr>
      <w:r>
        <w:rPr>
          <w:rFonts w:ascii="Calibri" w:cs="Calibri" w:eastAsia="Calibri" w:hAnsi="Calibri"/>
          <w:sz w:val="22"/>
          <w:szCs w:val="22"/>
        </w:rPr>
        <w:t xml:space="preserve">Implemented in monitoring-service/main.py (approximately 263 lines), this service provides a live dashboard on port 8090 showing real-time queue length, worker count, and job statistics; a health grid for all ten containers; and a color-coded autoscaler event log. The dashboard auto-refreshes every two seconds and exposes its own Prometheus metrics endpoint.</w:t>
      </w:r>
    </w:p>
    <w:p>
      <w:pPr>
        <w:pStyle w:val="Heading2"/>
        <w:spacing w:after="120" w:before="260"/>
      </w:pPr>
      <w:r>
        <w:t xml:space="preserve">4.5 Frontend (React)</w:t>
      </w:r>
    </w:p>
    <w:p>
      <w:pPr>
        <w:spacing w:after="160" w:line="276"/>
      </w:pPr>
      <w:r>
        <w:rPr>
          <w:rFonts w:ascii="Calibri" w:cs="Calibri" w:eastAsia="Calibri" w:hAnsi="Calibri"/>
          <w:sz w:val="22"/>
          <w:szCs w:val="22"/>
        </w:rPr>
        <w:t xml:space="preserve">The frontend, under frontend/src/ (more than 20 components), provides an instructor dashboard for creating assignments and reviewing similarity matrices and AI badges; a student submission portal; an admin page with statistics, user management, and a live audit log via Server-Sent Events; a cross-batch comparison page; and a per-student comparison view. Supporting features include dark mode with localStorage persistence, an error boundary to avoid blank screens, lazy-loaded routes for code splitting, WebSocket-driven real-time progress, skeleton loading states, and toast notifications.</w:t>
      </w:r>
    </w:p>
    <w:p>
      <w:pPr>
        <w:pStyle w:val="Heading1"/>
        <w:spacing w:after="160" w:before="320"/>
      </w:pPr>
      <w:r>
        <w:t xml:space="preserve">5. Machine Learning Models and Algorithms</w:t>
      </w:r>
    </w:p>
    <w:p>
      <w:pPr>
        <w:pStyle w:val="Heading2"/>
        <w:spacing w:after="120" w:before="260"/>
      </w:pPr>
      <w:r>
        <w:t xml:space="preserve">5.1 Similarity Detection (Hybrid Approach)</w:t>
      </w:r>
    </w:p>
    <w:p>
      <w:pPr>
        <w:spacing w:after="160" w:line="276"/>
      </w:pPr>
      <w:r>
        <w:rPr>
          <w:rFonts w:ascii="Calibri" w:cs="Calibri" w:eastAsia="Calibri" w:hAnsi="Calibri"/>
          <w:sz w:val="22"/>
          <w:szCs w:val="22"/>
        </w:rPr>
        <w:t xml:space="preserve">Pairwise similarity between submissions is computed as a weighted blend of three independent signals, each capturing a different notion of similarity.</w:t>
      </w:r>
    </w:p>
    <w:p>
      <w:pPr>
        <w:pStyle w:val="Heading3"/>
        <w:spacing w:after="100" w:before="200"/>
      </w:pPr>
      <w:r>
        <w:t xml:space="preserve">5.1.1 Component 1 — TF-IDF (weight 42.5%)</w:t>
      </w:r>
    </w:p>
    <w:p>
      <w:pPr>
        <w:spacing w:after="160" w:line="276"/>
      </w:pPr>
      <w:r>
        <w:rPr>
          <w:rFonts w:ascii="Calibri" w:cs="Calibri" w:eastAsia="Calibri" w:hAnsi="Calibri"/>
          <w:sz w:val="22"/>
          <w:szCs w:val="22"/>
        </w:rPr>
        <w:t xml:space="preserve">TF-IDF measures lexical, word-level similarity. Each submission is tokenized, and scikit-learn's TfidfVectorizer builds a vocabulary of up to 20,000 features with English stop words removed. Each document becomes a TF-IDF vector using the weighting tf(t,d) × (log((N+1)/(df+1)) + 1), and pairwise cosine similarity is computed across all vectors. TF-IDF is fast and interpretable and is effective at detecting copy-paste plagiarism, but it misses semantic similarity such as paraphrasing with different vocabulary.</w:t>
      </w:r>
    </w:p>
    <w:p>
      <w:pPr>
        <w:pStyle w:val="Heading3"/>
        <w:spacing w:after="100" w:before="200"/>
      </w:pPr>
      <w:r>
        <w:t xml:space="preserve">5.1.2 Component 2 — SBERT (weight 42.5%)</w:t>
      </w:r>
    </w:p>
    <w:p>
      <w:pPr>
        <w:spacing w:after="160" w:line="276"/>
      </w:pPr>
      <w:r>
        <w:rPr>
          <w:rFonts w:ascii="Calibri" w:cs="Calibri" w:eastAsia="Calibri" w:hAnsi="Calibri"/>
          <w:sz w:val="22"/>
          <w:szCs w:val="22"/>
        </w:rPr>
        <w:t xml:space="preserve">Sentence-BERT measures semantic, meaning-level similarity using the all-MiniLM-L12-v2 model (33.4 million parameters, 384-dimensional embeddings, 12 transformer layers, pre-trained on natural language inference data via knowledge distillation). Each submission is encoded into a 384-dimensional vector in batches of 32 for efficiency; vectors are L2-normalized and compared via cosine similarity (the dot product of normalized vectors), with results clipped to [0, 1]. SBERT captures meaning across different wording — for instance, two sentences that share no common words but express the same idea would score highly — at the cost of speed, GPU dependency at scale, and a tendency to over-flag topically related but non-plagiarized text.</w:t>
      </w:r>
    </w:p>
    <w:p>
      <w:pPr>
        <w:pStyle w:val="Heading3"/>
        <w:spacing w:after="100" w:before="200"/>
      </w:pPr>
      <w:r>
        <w:t xml:space="preserve">5.1.3 Component 3 — Jaccard Similarity on Word Bigrams (weight 15%)</w:t>
      </w:r>
    </w:p>
    <w:p>
      <w:pPr>
        <w:spacing w:after="160" w:line="276"/>
      </w:pPr>
      <w:r>
        <w:rPr>
          <w:rFonts w:ascii="Calibri" w:cs="Calibri" w:eastAsia="Calibri" w:hAnsi="Calibri"/>
          <w:sz w:val="22"/>
          <w:szCs w:val="22"/>
        </w:rPr>
        <w:t xml:space="preserve">Jaccard similarity captures structural, n-gram-level overlap. Text is split into word bigrams, and the Jaccard index is computed as the size of the intersection divided by the size of the union of the two bigram sets, ranging from 0 (no overlap) to 1 (identical). This component is effective at detecting reused phrases even when surrounding words differ, but it is sensitive to word-order changes and does not capture meaning.</w:t>
      </w:r>
    </w:p>
    <w:p>
      <w:pPr>
        <w:pStyle w:val="Heading3"/>
        <w:spacing w:after="100" w:before="200"/>
      </w:pPr>
      <w:r>
        <w:t xml:space="preserve">5.1.4 Hybrid Blend Formula</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score = w_tfidf x TF-IDF + w_sbert x SBERT + w_jac x Jaccard</w:t>
      </w:r>
      <w:r>
        <w:rPr>
          <w:rFonts w:ascii="Consolas" w:cs="Consolas" w:eastAsia="Consolas" w:hAnsi="Consolas"/>
          <w:sz w:val="19"/>
          <w:szCs w:val="19"/>
        </w:rPr>
        <w:br/>
        <w:t xml:space="preserve"/>
      </w:r>
      <w:r>
        <w:rPr>
          <w:rFonts w:ascii="Consolas" w:cs="Consolas" w:eastAsia="Consolas" w:hAnsi="Consolas"/>
          <w:sz w:val="19"/>
          <w:szCs w:val="19"/>
        </w:rPr>
        <w:br/>
        <w:t xml:space="preserve">where:</w:t>
      </w:r>
      <w:r>
        <w:rPr>
          <w:rFonts w:ascii="Consolas" w:cs="Consolas" w:eastAsia="Consolas" w:hAnsi="Consolas"/>
          <w:sz w:val="19"/>
          <w:szCs w:val="19"/>
        </w:rPr>
        <w:br/>
        <w:t xml:space="preserve">  w_tfidf = alpha x (1 - jaccard_weight) = 0.5 x 0.85 = 0.425</w:t>
      </w:r>
      <w:r>
        <w:rPr>
          <w:rFonts w:ascii="Consolas" w:cs="Consolas" w:eastAsia="Consolas" w:hAnsi="Consolas"/>
          <w:sz w:val="19"/>
          <w:szCs w:val="19"/>
        </w:rPr>
        <w:br/>
        <w:t xml:space="preserve">  w_sbert = (1 - alpha) x (1 - jaccard_weight) = 0.5 x 0.85 = 0.425</w:t>
      </w:r>
      <w:r>
        <w:rPr>
          <w:rFonts w:ascii="Consolas" w:cs="Consolas" w:eastAsia="Consolas" w:hAnsi="Consolas"/>
          <w:sz w:val="19"/>
          <w:szCs w:val="19"/>
        </w:rPr>
        <w:br/>
        <w:t xml:space="preserve">  w_jac   = jaccard_weight = 0.15</w:t>
      </w:r>
    </w:p>
    <w:p>
      <w:pPr>
        <w:spacing w:after="160" w:line="276"/>
      </w:pPr>
      <w:r>
        <w:rPr>
          <w:rFonts w:ascii="Calibri" w:cs="Calibri" w:eastAsia="Calibri" w:hAnsi="Calibri"/>
          <w:sz w:val="22"/>
          <w:szCs w:val="22"/>
        </w:rPr>
        <w:t xml:space="preserve">This weighting reflects a design rationale in which each component compensates for the blind spots of the others: TF-IDF catches exact word-for-word copying, SBERT catches paraphrasing, and Jaccard catches reused phrasing.</w:t>
      </w:r>
    </w:p>
    <w:p>
      <w:pPr>
        <w:pStyle w:val="Heading2"/>
        <w:spacing w:after="120" w:before="260"/>
      </w:pPr>
      <w:r>
        <w:t xml:space="preserve">5.2 AI Content Detection (Composite Approach)</w:t>
      </w:r>
    </w:p>
    <w:p>
      <w:pPr>
        <w:spacing w:after="160" w:line="276"/>
      </w:pPr>
      <w:r>
        <w:rPr>
          <w:rFonts w:ascii="Calibri" w:cs="Calibri" w:eastAsia="Calibri" w:hAnsi="Calibri"/>
          <w:sz w:val="22"/>
          <w:szCs w:val="22"/>
        </w:rPr>
        <w:t xml:space="preserve">The probability that a submission was AI-generated is estimated as a weighted composite of three independent signals.</w:t>
      </w:r>
    </w:p>
    <w:p>
      <w:pPr>
        <w:pStyle w:val="Heading3"/>
        <w:spacing w:after="100" w:before="200"/>
      </w:pPr>
      <w:r>
        <w:t xml:space="preserve">5.2.1 Component 1 — RoBERTa Classifier (weight 50%)</w:t>
      </w:r>
    </w:p>
    <w:p>
      <w:pPr>
        <w:spacing w:after="160" w:line="276"/>
      </w:pPr>
      <w:r>
        <w:rPr>
          <w:rFonts w:ascii="Calibri" w:cs="Calibri" w:eastAsia="Calibri" w:hAnsi="Calibri"/>
          <w:sz w:val="22"/>
          <w:szCs w:val="22"/>
        </w:rPr>
        <w:t xml:space="preserve">The Hello-SimpleAI/chatgpt-detector-roberta model (approximately 125 million parameters, 768-dimensional hidden states, 12 transformer layers) is a transformer fine-tuned specifically for AI-versus-human text classification. Input text is truncated to 5,000 characters, tokenized with a maximum length of 512 tokens, and passed through the classification head, which outputs a label ("Human" or "AI") and a confidence score. If the label is "Human," the RoBERTa score is 1 minus the model's confidence; if the label is "AI," the score equals the model's confidence directly.</w:t>
      </w:r>
    </w:p>
    <w:p>
      <w:pPr>
        <w:pStyle w:val="Heading3"/>
        <w:spacing w:after="100" w:before="200"/>
      </w:pPr>
      <w:r>
        <w:t xml:space="preserve">5.2.2 Component 2 — Perplexity and Burstiness via DistilGPT2 (weight 30%)</w:t>
      </w:r>
    </w:p>
    <w:p>
      <w:pPr>
        <w:spacing w:after="160" w:line="276"/>
      </w:pPr>
      <w:r>
        <w:rPr>
          <w:rFonts w:ascii="Calibri" w:cs="Calibri" w:eastAsia="Calibri" w:hAnsi="Calibri"/>
          <w:sz w:val="22"/>
          <w:szCs w:val="22"/>
        </w:rPr>
        <w:t xml:space="preserve">DistilGPT2 (82.1 million parameters, 6 transformer layers, distilled from GPT-2) supplies two complementary signals. Perplexity measures how "surprising" a text is to the language model, computed as the exponential of the cross-entropy loss; low perplexity (≤15) suggests predictable, likely-AI text, while high perplexity (≥60) suggests likely-human text. Burstiness measures variation in sentence length as the ratio of the standard deviation to the mean of sentence lengths; low burstiness (≤0.1) suggests uniform, likely-AI sentence structure, while high burstiness (≥0.8) suggests likely-human variation. The two signals are combined as:</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secondary_score = 0.7 x normalize_ppl(perplexity) + 0.3 x normalize_burst(burstiness)</w:t>
      </w:r>
    </w:p>
    <w:p>
      <w:pPr>
        <w:pStyle w:val="Heading3"/>
        <w:spacing w:after="100" w:before="200"/>
      </w:pPr>
      <w:r>
        <w:t xml:space="preserve">5.2.3 Component 3 — Stylometric Features (weight 20%)</w:t>
      </w:r>
    </w:p>
    <w:p>
      <w:pPr>
        <w:spacing w:after="160" w:line="276"/>
      </w:pPr>
      <w:r>
        <w:rPr>
          <w:rFonts w:ascii="Calibri" w:cs="Calibri" w:eastAsia="Calibri" w:hAnsi="Calibri"/>
          <w:sz w:val="22"/>
          <w:szCs w:val="22"/>
        </w:rPr>
        <w:t xml:space="preserve">Five handcrafted stylistic features contribute the remaining signal: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50"/>
      </w:tblGrid>
      <w:tr>
        <w:trPr>
          <w:tblHeader/>
        </w:trPr>
        <w:tc>
          <w:tcPr>
            <w:tcW w:type="dxa" w:w="3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Feature</w:t>
            </w:r>
          </w:p>
        </w:tc>
        <w:tc>
          <w:tcPr>
            <w:tcW w:type="dxa" w:w="1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Weight</w:t>
            </w:r>
          </w:p>
        </w:tc>
        <w:tc>
          <w:tcPr>
            <w:tcW w:type="dxa" w:w="47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AI Signal</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Type-Token Ratio (TTR)</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0.20</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Low TTR (repetitive vocabulary) suggests AI</w:t>
            </w:r>
          </w:p>
        </w:tc>
      </w:tr>
      <w:tr>
        <w:tc>
          <w:tcPr>
            <w:tcW w:type="dxa" w:w="3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Sentence Length Variance</w:t>
            </w:r>
          </w:p>
        </w:tc>
        <w:tc>
          <w:tcPr>
            <w:tcW w:type="dxa" w:w="1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0.20</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Low variance (uniform sentences) suggests AI</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Transition Word Rate</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0.25</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High rate (excessive transitions) suggests AI</w:t>
            </w:r>
          </w:p>
        </w:tc>
      </w:tr>
      <w:tr>
        <w:tc>
          <w:tcPr>
            <w:tcW w:type="dxa" w:w="3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Hedge Word Rate</w:t>
            </w:r>
          </w:p>
        </w:tc>
        <w:tc>
          <w:tcPr>
            <w:tcW w:type="dxa" w:w="1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0.15</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Low rate (lack of hedging) suggests AI</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Passive Voice Rate</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0.20</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High rate (excessive passive voice) suggests AI</w:t>
            </w:r>
          </w:p>
        </w:tc>
      </w:tr>
    </w:tbl>
    <w:p>
      <w:pPr>
        <w:spacing w:after="160" w:line="276"/>
      </w:pPr>
      <w:r>
        <w:rPr>
          <w:rFonts w:ascii="Calibri" w:cs="Calibri" w:eastAsia="Calibri" w:hAnsi="Calibri"/>
          <w:sz w:val="22"/>
          <w:szCs w:val="22"/>
        </w:rPr>
        <w:t xml:space="preserve">Transition words include terms such as firstly, furthermore, moreover, consequently, therefore, and in conclusion; hedge words include terms such as perhaps, possibly, likely, seems, and suggests; passive voice is detected via the regular expression \b(?:is|are|was|were|be|been|being)\s+\w+ed\b. These features complement the neural signals by capturing stylistic patterns — overuse of transitions, lack of hedging, uniform sentence length — characteristic of AI-generated writing.</w:t>
      </w:r>
    </w:p>
    <w:p>
      <w:pPr>
        <w:pStyle w:val="Heading3"/>
        <w:spacing w:after="100" w:before="200"/>
      </w:pPr>
      <w:r>
        <w:t xml:space="preserve">5.2.4 Final Composite Score</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composite = 0.50 x roberta_score</w:t>
      </w:r>
      <w:r>
        <w:rPr>
          <w:rFonts w:ascii="Consolas" w:cs="Consolas" w:eastAsia="Consolas" w:hAnsi="Consolas"/>
          <w:sz w:val="19"/>
          <w:szCs w:val="19"/>
        </w:rPr>
        <w:br/>
        <w:t xml:space="preserve">          + 0.30 x (0.7 x normalize_ppl(ppl) + 0.3 x normalize_burst(burst))</w:t>
      </w:r>
      <w:r>
        <w:rPr>
          <w:rFonts w:ascii="Consolas" w:cs="Consolas" w:eastAsia="Consolas" w:hAnsi="Consolas"/>
          <w:sz w:val="19"/>
          <w:szCs w:val="19"/>
        </w:rPr>
        <w:br/>
        <w:t xml:space="preserve">          + 0.20 x stylometric_score</w:t>
      </w:r>
      <w:r>
        <w:rPr>
          <w:rFonts w:ascii="Consolas" w:cs="Consolas" w:eastAsia="Consolas" w:hAnsi="Consolas"/>
          <w:sz w:val="19"/>
          <w:szCs w:val="19"/>
        </w:rPr>
        <w:br/>
        <w:t xml:space="preserve"/>
      </w:r>
      <w:r>
        <w:rPr>
          <w:rFonts w:ascii="Consolas" w:cs="Consolas" w:eastAsia="Consolas" w:hAnsi="Consolas"/>
          <w:sz w:val="19"/>
          <w:szCs w:val="19"/>
        </w:rPr>
        <w:br/>
        <w:t xml:space="preserve">output = clamp(composite, 0.0, 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50"/>
      </w:tblGrid>
      <w:tr>
        <w:trPr>
          <w:tblHeader/>
        </w:trPr>
        <w:tc>
          <w:tcPr>
            <w:tcW w:type="dxa" w:w="2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Score Range</w:t>
            </w:r>
          </w:p>
        </w:tc>
        <w:tc>
          <w:tcPr>
            <w:tcW w:type="dxa" w:w="38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Label</w:t>
            </w:r>
          </w:p>
        </w:tc>
        <w:tc>
          <w:tcPr>
            <w:tcW w:type="dxa" w:w="31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Badge Colour</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0.0 – 0.3</w:t>
            </w:r>
          </w:p>
        </w:tc>
        <w:tc>
          <w:tcPr>
            <w:tcW w:type="dxa" w:w="3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Likely human-written</w:t>
            </w:r>
          </w:p>
        </w:tc>
        <w:tc>
          <w:tcPr>
            <w:tcW w:type="dxa" w:w="3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Green</w:t>
            </w:r>
          </w:p>
        </w:tc>
      </w:tr>
      <w:tr>
        <w:tc>
          <w:tcPr>
            <w:tcW w:type="dxa" w:w="2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0.3 – 0.7</w:t>
            </w:r>
          </w:p>
        </w:tc>
        <w:tc>
          <w:tcPr>
            <w:tcW w:type="dxa" w:w="38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Possibly AI-assisted</w:t>
            </w:r>
          </w:p>
        </w:tc>
        <w:tc>
          <w:tcPr>
            <w:tcW w:type="dxa" w:w="3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Yellow</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0.7 – 1.0</w:t>
            </w:r>
          </w:p>
        </w:tc>
        <w:tc>
          <w:tcPr>
            <w:tcW w:type="dxa" w:w="3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Likely AI-generated</w:t>
            </w:r>
          </w:p>
        </w:tc>
        <w:tc>
          <w:tcPr>
            <w:tcW w:type="dxa" w:w="3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Red</w:t>
            </w:r>
          </w:p>
        </w:tc>
      </w:tr>
    </w:tbl>
    <w:p>
      <w:pPr>
        <w:pStyle w:val="Heading2"/>
        <w:spacing w:after="120" w:before="260"/>
      </w:pPr>
      <w:r>
        <w:t xml:space="preserve">5.3 Model Usage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2000"/>
        <w:gridCol w:w="1950"/>
      </w:tblGrid>
      <w:tr>
        <w:trPr>
          <w:tblHeader/>
        </w:trPr>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Model</w:t>
            </w:r>
          </w:p>
        </w:tc>
        <w:tc>
          <w:tcPr>
            <w:tcW w:type="dxa" w:w="1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Parameters</w:t>
            </w:r>
          </w:p>
        </w:tc>
        <w:tc>
          <w:tcPr>
            <w:tcW w:type="dxa" w:w="1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Dimensions</w:t>
            </w:r>
          </w:p>
        </w:tc>
        <w:tc>
          <w:tcPr>
            <w:tcW w:type="dxa" w:w="2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Used For</w:t>
            </w:r>
          </w:p>
        </w:tc>
        <w:tc>
          <w:tcPr>
            <w:tcW w:type="dxa" w:w="19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Training</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all-MiniLM-L12-v2</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33.4M</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384</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Semantic similarity</w:t>
            </w:r>
          </w:p>
        </w:tc>
        <w:tc>
          <w:tcPr>
            <w:tcW w:type="dxa" w:w="19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Pre-trained (NLI + knowledge distillation)</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chatgpt-detector-roberta</w:t>
            </w:r>
          </w:p>
        </w:tc>
        <w:tc>
          <w:tcPr>
            <w:tcW w:type="dxa" w:w="1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~125M</w:t>
            </w:r>
          </w:p>
        </w:tc>
        <w:tc>
          <w:tcPr>
            <w:tcW w:type="dxa" w:w="1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768</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AI text classification</w:t>
            </w:r>
          </w:p>
        </w:tc>
        <w:tc>
          <w:tcPr>
            <w:tcW w:type="dxa" w:w="19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Pre-trained (AI vs. human)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distilgpt2</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82.1M</w:t>
            </w:r>
          </w:p>
        </w:tc>
        <w:tc>
          <w:tcPr>
            <w:tcW w:type="dxa" w:w="1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768</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Perplexity scoring</w:t>
            </w:r>
          </w:p>
        </w:tc>
        <w:tc>
          <w:tcPr>
            <w:tcW w:type="dxa" w:w="19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Pre-trained (distilled from GPT-2)</w:t>
            </w:r>
          </w:p>
        </w:tc>
      </w:tr>
    </w:tbl>
    <w:p>
      <w:pPr>
        <w:spacing w:after="160" w:line="276"/>
      </w:pPr>
      <w:r>
        <w:rPr>
          <w:rFonts w:ascii="Calibri" w:cs="Calibri" w:eastAsia="Calibri" w:hAnsi="Calibri"/>
          <w:sz w:val="22"/>
          <w:szCs w:val="22"/>
        </w:rPr>
        <w:t xml:space="preserve">No fine-tuning or custom training is performed; all models are used as-is from the HuggingFace Hub, which is discussed further as a limitation in Section 12.</w:t>
      </w:r>
    </w:p>
    <w:p>
      <w:pPr>
        <w:pStyle w:val="Heading1"/>
        <w:spacing w:after="160" w:before="320"/>
      </w:pPr>
      <w:r>
        <w:t xml:space="preserve">6. Features</w:t>
      </w:r>
    </w:p>
    <w:p>
      <w:pPr>
        <w:pStyle w:val="Heading2"/>
        <w:spacing w:after="120" w:before="260"/>
      </w:pPr>
      <w:r>
        <w:t xml:space="preserve">6.1 Assignment Management</w:t>
      </w:r>
    </w:p>
    <w:p>
      <w:pPr>
        <w:spacing w:after="160" w:line="276"/>
      </w:pPr>
      <w:r>
        <w:rPr>
          <w:rFonts w:ascii="Calibri" w:cs="Calibri" w:eastAsia="Calibri" w:hAnsi="Calibri"/>
          <w:sz w:val="22"/>
          <w:szCs w:val="22"/>
        </w:rPr>
        <w:t xml:space="preserve">Instructors create assignments specifying a name, expected submission count, allowed file types, and due date. Each assignment is issued a unique 8-character access code that students use, together with a roll number, to submit work. Re-submission replaces the previous submission, since only one active submission per student per batch is permitted.</w:t>
      </w:r>
    </w:p>
    <w:p>
      <w:pPr>
        <w:pStyle w:val="Heading2"/>
        <w:spacing w:after="120" w:before="260"/>
      </w:pPr>
      <w:r>
        <w:t xml:space="preserve">6.2 File Processing</w:t>
      </w:r>
    </w:p>
    <w:p>
      <w:pPr>
        <w:spacing w:after="160" w:line="276"/>
      </w:pPr>
      <w:r>
        <w:rPr>
          <w:rFonts w:ascii="Calibri" w:cs="Calibri" w:eastAsia="Calibri" w:hAnsi="Calibri"/>
          <w:sz w:val="22"/>
          <w:szCs w:val="22"/>
        </w:rPr>
        <w:t xml:space="preserve">The platform supports PDF, DOCX, TXT, MD, CSV, PY, JAVA, JS, and TS files. Scanned PDFs and images are handled via OCR (pytesseract and pdf2image); text extraction otherwise uses pypdf for PDFs, python-docx for DOCX files, and UTF-8 decoding for plain-text files.</w:t>
      </w:r>
    </w:p>
    <w:p>
      <w:pPr>
        <w:pStyle w:val="Heading2"/>
        <w:spacing w:after="120" w:before="260"/>
      </w:pPr>
      <w:r>
        <w:t xml:space="preserve">6.3 Similarity Matrix</w:t>
      </w:r>
    </w:p>
    <w:p>
      <w:pPr>
        <w:spacing w:after="160" w:line="276"/>
      </w:pPr>
      <w:r>
        <w:rPr>
          <w:rFonts w:ascii="Calibri" w:cs="Calibri" w:eastAsia="Calibri" w:hAnsi="Calibri"/>
          <w:sz w:val="22"/>
          <w:szCs w:val="22"/>
        </w:rPr>
        <w:t xml:space="preserve">Results are presented as a pairwise N×N matrix in which cell (i, j) holds the similarity score between submissions i and j. Cells are color-coded across five severity bands (very low, low, medium, high, very high), a configurable threshold dims cells below the cutoff, and matching text within documents is highlighted via client-side n-gram matching.</w:t>
      </w:r>
    </w:p>
    <w:p>
      <w:pPr>
        <w:pStyle w:val="Heading2"/>
        <w:spacing w:after="120" w:before="260"/>
      </w:pPr>
      <w:r>
        <w:t xml:space="preserve">6.4 AI Detection</w:t>
      </w:r>
    </w:p>
    <w:p>
      <w:pPr>
        <w:spacing w:after="160" w:line="276"/>
      </w:pPr>
      <w:r>
        <w:rPr>
          <w:rFonts w:ascii="Calibri" w:cs="Calibri" w:eastAsia="Calibri" w:hAnsi="Calibri"/>
          <w:sz w:val="22"/>
          <w:szCs w:val="22"/>
        </w:rPr>
        <w:t xml:space="preserve">AI-content detection runs automatically alongside similarity computation, scoring each submission independently (rather than pairwise) and displaying a three-tier badge: a checkmark for likely human text, a tilde for possibly AI-assisted text, and a warning symbol for likely AI-generated text.</w:t>
      </w:r>
    </w:p>
    <w:p>
      <w:pPr>
        <w:pStyle w:val="Heading2"/>
        <w:spacing w:after="120" w:before="260"/>
      </w:pPr>
      <w:r>
        <w:t xml:space="preserve">6.5 PDF Reports</w:t>
      </w:r>
    </w:p>
    <w:p>
      <w:pPr>
        <w:spacing w:after="160" w:line="276"/>
      </w:pPr>
      <w:r>
        <w:rPr>
          <w:rFonts w:ascii="Calibri" w:cs="Calibri" w:eastAsia="Calibri" w:hAnsi="Calibri"/>
          <w:sz w:val="22"/>
          <w:szCs w:val="22"/>
        </w:rPr>
        <w:t xml:space="preserve">A downloadable PDF report can be generated on demand for any pair of submissions, showing the similarity score, submission metadata, and a text comparison with common words highlighted. Reports are generated via reportlab, with fpdf2 as a fallback.</w:t>
      </w:r>
    </w:p>
    <w:p>
      <w:pPr>
        <w:pStyle w:val="Heading2"/>
        <w:spacing w:after="120" w:before="260"/>
      </w:pPr>
      <w:r>
        <w:t xml:space="preserve">6.6 Cross-Batch Comparison</w:t>
      </w:r>
    </w:p>
    <w:p>
      <w:pPr>
        <w:spacing w:after="160" w:line="276"/>
      </w:pPr>
      <w:r>
        <w:rPr>
          <w:rFonts w:ascii="Calibri" w:cs="Calibri" w:eastAsia="Calibri" w:hAnsi="Calibri"/>
          <w:sz w:val="22"/>
          <w:szCs w:val="22"/>
        </w:rPr>
        <w:t xml:space="preserve">Submissions can be compared across two different assignments, which is useful for detecting a student submitting the same work to multiple assignments.</w:t>
      </w:r>
    </w:p>
    <w:p>
      <w:pPr>
        <w:pStyle w:val="Heading2"/>
        <w:spacing w:after="120" w:before="260"/>
      </w:pPr>
      <w:r>
        <w:t xml:space="preserve">6.7 Student Comparison</w:t>
      </w:r>
    </w:p>
    <w:p>
      <w:pPr>
        <w:spacing w:after="160" w:line="276"/>
      </w:pPr>
      <w:r>
        <w:rPr>
          <w:rFonts w:ascii="Calibri" w:cs="Calibri" w:eastAsia="Calibri" w:hAnsi="Calibri"/>
          <w:sz w:val="22"/>
          <w:szCs w:val="22"/>
        </w:rPr>
        <w:t xml:space="preserve">Instructors can view all pairwise scores for a specific student's submission, showing which other submissions it most closely resembles.</w:t>
      </w:r>
    </w:p>
    <w:p>
      <w:pPr>
        <w:pStyle w:val="Heading2"/>
        <w:spacing w:after="120" w:before="260"/>
      </w:pPr>
      <w:r>
        <w:t xml:space="preserve">6.8 External Lookup (Simulated)</w:t>
      </w:r>
    </w:p>
    <w:p>
      <w:pPr>
        <w:spacing w:after="160" w:line="276"/>
      </w:pPr>
      <w:r>
        <w:rPr>
          <w:rFonts w:ascii="Calibri" w:cs="Calibri" w:eastAsia="Calibri" w:hAnsi="Calibri"/>
          <w:sz w:val="22"/>
          <w:szCs w:val="22"/>
        </w:rPr>
        <w:t xml:space="preserve">The platform extracts key phrases from a submission and generates synthetic web and academic-paper match results, cached in memory with a one-hour time-to-live. This feature is simulated rather than connected to a live external search index, as discussed in Section 12.</w:t>
      </w:r>
    </w:p>
    <w:p>
      <w:pPr>
        <w:pStyle w:val="Heading2"/>
        <w:spacing w:after="120" w:before="260"/>
      </w:pPr>
      <w:r>
        <w:t xml:space="preserve">6.9 Admin Panel</w:t>
      </w:r>
    </w:p>
    <w:p>
      <w:pPr>
        <w:spacing w:after="160" w:line="276"/>
      </w:pPr>
      <w:r>
        <w:rPr>
          <w:rFonts w:ascii="Calibri" w:cs="Calibri" w:eastAsia="Calibri" w:hAnsi="Calibri"/>
          <w:sz w:val="22"/>
          <w:szCs w:val="22"/>
        </w:rPr>
        <w:t xml:space="preserve">The admin panel provides a statistics tab (total users, assignments, submissions, and similarity results), a users tab (a paginated, searchable list with role management across user, teacher, and admin roles), and an audit tab presenting a real-time log via Server-Sent Events.</w:t>
      </w:r>
    </w:p>
    <w:p>
      <w:pPr>
        <w:pStyle w:val="Heading2"/>
        <w:spacing w:after="120" w:before="260"/>
      </w:pPr>
      <w:r>
        <w:t xml:space="preserve">6.10 Email Notifications</w:t>
      </w:r>
    </w:p>
    <w:p>
      <w:pPr>
        <w:spacing w:after="160" w:line="276"/>
      </w:pPr>
      <w:r>
        <w:rPr>
          <w:rFonts w:ascii="Calibri" w:cs="Calibri" w:eastAsia="Calibri" w:hAnsi="Calibri"/>
          <w:sz w:val="22"/>
          <w:szCs w:val="22"/>
        </w:rPr>
        <w:t xml:space="preserve">An SMTP-based notification system, with configurable host, port, and credentials, supports bulk email sending with connection reuse and a pending-notification queue stored in the database.</w:t>
      </w:r>
    </w:p>
    <w:p>
      <w:pPr>
        <w:pStyle w:val="Heading2"/>
        <w:spacing w:after="120" w:before="260"/>
      </w:pPr>
      <w:r>
        <w:t xml:space="preserve">6.11 Dark Mode</w:t>
      </w:r>
    </w:p>
    <w:p>
      <w:pPr>
        <w:spacing w:after="160" w:line="276"/>
      </w:pPr>
      <w:r>
        <w:rPr>
          <w:rFonts w:ascii="Calibri" w:cs="Calibri" w:eastAsia="Calibri" w:hAnsi="Calibri"/>
          <w:sz w:val="22"/>
          <w:szCs w:val="22"/>
        </w:rPr>
        <w:t xml:space="preserve">Theme switching is implemented via CSS variables with localStorage persistence, a pre-paint inline script to avoid a flash of the wrong theme, and WCAG AA-compliant contrast in both light and dark themes.</w:t>
      </w:r>
    </w:p>
    <w:p>
      <w:pPr>
        <w:pStyle w:val="Heading1"/>
        <w:spacing w:after="160" w:before="320"/>
      </w:pPr>
      <w:r>
        <w:t xml:space="preserve">7. Database Schema</w:t>
      </w:r>
    </w:p>
    <w:p>
      <w:pPr>
        <w:spacing w:after="160" w:line="276"/>
      </w:pPr>
      <w:r>
        <w:rPr>
          <w:rFonts w:ascii="Calibri" w:cs="Calibri" w:eastAsia="Calibri" w:hAnsi="Calibri"/>
          <w:sz w:val="22"/>
          <w:szCs w:val="22"/>
        </w:rPr>
        <w:t xml:space="preserve">The platform persists data in PostgreSQL 16, accessed through the SQLAlchemy ORM with a connection pool configured as pool_size=10, max_overflow=20, pool_timeout=30, and pool_recycle=1800. The schema consists of six tables.</w:t>
      </w:r>
    </w:p>
    <w:p>
      <w:pPr>
        <w:pStyle w:val="Heading2"/>
        <w:spacing w:after="120" w:before="260"/>
      </w:pPr>
      <w:r>
        <w:t xml:space="preserve">7.1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50"/>
      </w:tblGrid>
      <w:tr>
        <w:trPr>
          <w:tblHeader/>
        </w:trPr>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Column</w:t>
            </w:r>
          </w:p>
        </w:tc>
        <w:tc>
          <w:tcPr>
            <w:tcW w:type="dxa" w:w="2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Type</w:t>
            </w:r>
          </w:p>
        </w:tc>
        <w:tc>
          <w:tcPr>
            <w:tcW w:type="dxa" w:w="47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Constraints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user_id</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PRIMARY KEY</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email</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String(256)</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UNIQUE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name</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String(256)</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roll</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 UNIQUE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password_hash</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String(256)</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role</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String(16)</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'user'</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token_version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Integer</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0</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created_at</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bl>
    <w:p>
      <w:pPr>
        <w:pStyle w:val="Heading2"/>
        <w:spacing w:after="120" w:before="260"/>
      </w:pPr>
      <w:r>
        <w:t xml:space="preserve">7.2 assignments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50"/>
      </w:tblGrid>
      <w:tr>
        <w:trPr>
          <w:tblHeader/>
        </w:trPr>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Column</w:t>
            </w:r>
          </w:p>
        </w:tc>
        <w:tc>
          <w:tcPr>
            <w:tcW w:type="dxa" w:w="2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Type</w:t>
            </w:r>
          </w:p>
        </w:tc>
        <w:tc>
          <w:tcPr>
            <w:tcW w:type="dxa" w:w="47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Constraints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batch_id</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PRIMARY KEY</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name</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String(256)</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access_code</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String(16)</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UNIQUE</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owner_user_id</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expected_count</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Integer</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0</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similarity_threshold</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Float</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0.5</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due_date</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allowed_file_types</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Text</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'.pdf,.docx,.txt'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allow_anonymous</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Integer (bool)</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1</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allow_resubmission</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Integer (bool)</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1</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max_submissions</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Integer</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0</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created_at</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bl>
    <w:p>
      <w:pPr>
        <w:pStyle w:val="Heading2"/>
        <w:spacing w:after="120" w:before="260"/>
      </w:pPr>
      <w:r>
        <w:t xml:space="preserve">7.3 submissions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50"/>
      </w:tblGrid>
      <w:tr>
        <w:trPr>
          <w:tblHeader/>
        </w:trPr>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Column</w:t>
            </w:r>
          </w:p>
        </w:tc>
        <w:tc>
          <w:tcPr>
            <w:tcW w:type="dxa" w:w="2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Type</w:t>
            </w:r>
          </w:p>
        </w:tc>
        <w:tc>
          <w:tcPr>
            <w:tcW w:type="dxa" w:w="47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Constraints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submission_id</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PRIMARY KEY</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batch_id</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user_id</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roll</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name</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String(256)</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email</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String(256)</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filename</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String(256)</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original_filename</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String(256)</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file_path</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Text</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status</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String(16)</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'ACTIVE'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embedding_json</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Text</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ai_score</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Float</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plagiarism_score</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Float</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created_at</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bl>
    <w:p>
      <w:pPr>
        <w:spacing w:after="160" w:line="276"/>
      </w:pPr>
      <w:r>
        <w:rPr>
          <w:rFonts w:ascii="Calibri" w:cs="Calibri" w:eastAsia="Calibri" w:hAnsi="Calibri"/>
          <w:sz w:val="22"/>
          <w:szCs w:val="22"/>
        </w:rPr>
        <w:t xml:space="preserve">A unique partial index, ux_submissions_active_batch_roll ON submissions (batch_id, roll) WHERE status = 'ACTIVE', enforces at most one active submission per student per assignment.</w:t>
      </w:r>
    </w:p>
    <w:p>
      <w:pPr>
        <w:pStyle w:val="Heading2"/>
        <w:spacing w:after="120" w:before="260"/>
      </w:pPr>
      <w:r>
        <w:t xml:space="preserve">7.4 jobs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50"/>
      </w:tblGrid>
      <w:tr>
        <w:trPr>
          <w:tblHeader/>
        </w:trPr>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Column</w:t>
            </w:r>
          </w:p>
        </w:tc>
        <w:tc>
          <w:tcPr>
            <w:tcW w:type="dxa" w:w="2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Type</w:t>
            </w:r>
          </w:p>
        </w:tc>
        <w:tc>
          <w:tcPr>
            <w:tcW w:type="dxa" w:w="47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Constraints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job_id</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PRIMARY KEY</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text</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Text</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status</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String(32)</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 default 'PENDING'</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result_json</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Text</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error</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Text</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worker_id</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String(128)</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created_at</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updated_at</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completed_at</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NULLABLE</w:t>
            </w:r>
          </w:p>
        </w:tc>
      </w:tr>
    </w:tbl>
    <w:p>
      <w:pPr>
        <w:pStyle w:val="Heading2"/>
        <w:spacing w:after="120" w:before="260"/>
      </w:pPr>
      <w:r>
        <w:t xml:space="preserve">7.5 similarity_results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50"/>
      </w:tblGrid>
      <w:tr>
        <w:trPr>
          <w:tblHeader/>
        </w:trPr>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Column</w:t>
            </w:r>
          </w:p>
        </w:tc>
        <w:tc>
          <w:tcPr>
            <w:tcW w:type="dxa" w:w="20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Type</w:t>
            </w:r>
          </w:p>
        </w:tc>
        <w:tc>
          <w:tcPr>
            <w:tcW w:type="dxa" w:w="47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Constraints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id</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Integer</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PRIMARY KEY</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batch_id</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submission_id_1</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submission_id_2</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String(64)</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similarity_score</w:t>
            </w:r>
          </w:p>
        </w:tc>
        <w:tc>
          <w:tcPr>
            <w:tcW w:type="dxa" w:w="2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Float</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r>
        <w:tc>
          <w:tcPr>
            <w:tcW w:type="dxa" w:w="26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created_at</w:t>
            </w:r>
          </w:p>
        </w:tc>
        <w:tc>
          <w:tcPr>
            <w:tcW w:type="dxa" w:w="20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w:t>
            </w:r>
          </w:p>
        </w:tc>
        <w:tc>
          <w:tcPr>
            <w:tcW w:type="dxa" w:w="47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NULL</w:t>
            </w:r>
          </w:p>
        </w:tc>
      </w:tr>
    </w:tbl>
    <w:p>
      <w:pPr>
        <w:pStyle w:val="Heading2"/>
        <w:spacing w:after="120" w:before="260"/>
      </w:pPr>
      <w:r>
        <w:t xml:space="preserve">7.6 notifications and annotations</w:t>
      </w:r>
    </w:p>
    <w:p>
      <w:pPr>
        <w:spacing w:after="160" w:line="276"/>
      </w:pPr>
      <w:r>
        <w:rPr>
          <w:rFonts w:ascii="Calibri" w:cs="Calibri" w:eastAsia="Calibri" w:hAnsi="Calibri"/>
          <w:sz w:val="22"/>
          <w:szCs w:val="22"/>
        </w:rPr>
        <w:t xml:space="preserve">The notifications table (id, user_id, email, subject, body, sent, sent_at, created_at) tracks outbound email notifications, while the annotations table (id, submission_id, batch_id, author_id, content, highlight_text, created_at) stores instructor comments anchored to specific submissions.</w:t>
      </w:r>
    </w:p>
    <w:p>
      <w:pPr>
        <w:pStyle w:val="Heading1"/>
        <w:spacing w:after="160" w:before="320"/>
      </w:pPr>
      <w:r>
        <w:t xml:space="preserve">8. Authentication and Security</w:t>
      </w:r>
    </w:p>
    <w:p>
      <w:pPr>
        <w:pStyle w:val="Heading2"/>
        <w:spacing w:after="120" w:before="260"/>
      </w:pPr>
      <w:r>
        <w:t xml:space="preserve">8.1 JWT Authentication</w:t>
      </w:r>
    </w:p>
    <w:p>
      <w:pPr>
        <w:spacing w:after="160" w:line="276"/>
      </w:pPr>
      <w:r>
        <w:rPr>
          <w:rFonts w:ascii="Calibri" w:cs="Calibri" w:eastAsia="Calibri" w:hAnsi="Calibri"/>
          <w:sz w:val="22"/>
          <w:szCs w:val="22"/>
        </w:rPr>
        <w:t xml:space="preserve">Authentication uses JSON Web Tokens signed with the HS256 algorithm using the JWT_SECRET environment variable, with a 24-hour expiry. Token claims include the subject (user_id), expiry (exp), and token version (ver). Tokens are stored in an httpOnly cookie as the primary mechanism, with a localStorage fallback for client-side JavaScript access.</w:t>
      </w:r>
    </w:p>
    <w:p>
      <w:pPr>
        <w:pStyle w:val="Heading2"/>
        <w:spacing w:after="120" w:before="260"/>
      </w:pPr>
      <w:r>
        <w:t xml:space="preserve">8.2 Password Security</w:t>
      </w:r>
    </w:p>
    <w:p>
      <w:pPr>
        <w:spacing w:after="160" w:line="276"/>
      </w:pPr>
      <w:r>
        <w:rPr>
          <w:rFonts w:ascii="Calibri" w:cs="Calibri" w:eastAsia="Calibri" w:hAnsi="Calibri"/>
          <w:sz w:val="22"/>
          <w:szCs w:val="22"/>
        </w:rPr>
        <w:t xml:space="preserve">Passwords are hashed with bcrypt, which applies automatic salting, and must satisfy a minimum length of 8 characters with at least one digit and one special character.</w:t>
      </w:r>
    </w:p>
    <w:p>
      <w:pPr>
        <w:pStyle w:val="Heading2"/>
        <w:spacing w:after="120" w:before="260"/>
      </w:pPr>
      <w:r>
        <w:t xml:space="preserve">8.3 CSRF Protection</w:t>
      </w:r>
    </w:p>
    <w:p>
      <w:pPr>
        <w:spacing w:after="160" w:line="276"/>
      </w:pPr>
      <w:r>
        <w:rPr>
          <w:rFonts w:ascii="Calibri" w:cs="Calibri" w:eastAsia="Calibri" w:hAnsi="Calibri"/>
          <w:sz w:val="22"/>
          <w:szCs w:val="22"/>
        </w:rPr>
        <w:t xml:space="preserve">Cross-site request forgery protection follows a stateless, HMAC-based double-submit cookie pattern. The token is computed as HMAC(CSRF_SECRET, "csrf:{user_id}"), and requests are validated by confirming that the X-CSRF-Token header matches both the csrf_token cookie and the expected HMAC value, using a constant-time comparison via hmac.compare_digest() to prevent timing attacks.</w:t>
      </w:r>
    </w:p>
    <w:p>
      <w:pPr>
        <w:pStyle w:val="Heading2"/>
        <w:spacing w:after="120" w:before="260"/>
      </w:pPr>
      <w:r>
        <w:t xml:space="preserve">8.4 Role-Based Access Control</w:t>
      </w:r>
    </w:p>
    <w:p>
      <w:pPr>
        <w:spacing w:after="160" w:line="276"/>
      </w:pPr>
      <w:r>
        <w:rPr>
          <w:rFonts w:ascii="Calibri" w:cs="Calibri" w:eastAsia="Calibri" w:hAnsi="Calibri"/>
          <w:sz w:val="22"/>
          <w:szCs w:val="22"/>
        </w:rPr>
        <w:t xml:space="preserve">Access control follows a strict hierarchy: user (rank 0) &lt; teacher (rank 1) &lt; admin (rank 2). Any unrecognized role is assigned rank −1 and fails every permission check. The token_version column on the users table is incremented whenever a role changes, invalidating existing sessions and forcing re-login.</w:t>
      </w:r>
    </w:p>
    <w:p>
      <w:pPr>
        <w:pStyle w:val="Heading2"/>
        <w:spacing w:after="120" w:before="260"/>
      </w:pPr>
      <w:r>
        <w:t xml:space="preserve">8.5 Additional Security Measures</w:t>
      </w:r>
    </w:p>
    <w:p>
      <w:pPr>
        <w:pStyle w:val="ListParagraph"/>
        <w:numPr>
          <w:ilvl w:val="0"/>
          <w:numId w:val="1"/>
        </w:numPr>
        <w:spacing w:after="80"/>
        <w:rPr>
          <w:rFonts w:ascii="Calibri" w:cs="Calibri" w:eastAsia="Calibri" w:hAnsi="Calibri"/>
          <w:sz w:val="22"/>
          <w:szCs w:val="22"/>
        </w:rPr>
      </w:pPr>
      <w:r>
        <w:t xml:space="preserve">CORS is restricted to specific allowed methods and headers.</w:t>
      </w:r>
    </w:p>
    <w:p>
      <w:pPr>
        <w:pStyle w:val="ListParagraph"/>
        <w:numPr>
          <w:ilvl w:val="0"/>
          <w:numId w:val="1"/>
        </w:numPr>
        <w:spacing w:after="80"/>
        <w:rPr>
          <w:rFonts w:ascii="Calibri" w:cs="Calibri" w:eastAsia="Calibri" w:hAnsi="Calibri"/>
          <w:sz w:val="22"/>
          <w:szCs w:val="22"/>
        </w:rPr>
      </w:pPr>
      <w:r>
        <w:t xml:space="preserve">Rate limiting is applied per endpoint category: 100 requests/minute on submission, 20/minute on login, and 10/minute on signup.</w:t>
      </w:r>
    </w:p>
    <w:p>
      <w:pPr>
        <w:pStyle w:val="ListParagraph"/>
        <w:numPr>
          <w:ilvl w:val="0"/>
          <w:numId w:val="1"/>
        </w:numPr>
        <w:spacing w:after="80"/>
        <w:rPr>
          <w:rFonts w:ascii="Calibri" w:cs="Calibri" w:eastAsia="Calibri" w:hAnsi="Calibri"/>
          <w:sz w:val="22"/>
          <w:szCs w:val="22"/>
        </w:rPr>
      </w:pPr>
      <w:r>
        <w:t xml:space="preserve">All mutation endpoints verify resource ownership before allowing changes.</w:t>
      </w:r>
    </w:p>
    <w:p>
      <w:pPr>
        <w:pStyle w:val="ListParagraph"/>
        <w:numPr>
          <w:ilvl w:val="0"/>
          <w:numId w:val="1"/>
        </w:numPr>
        <w:spacing w:after="80"/>
        <w:rPr>
          <w:rFonts w:ascii="Calibri" w:cs="Calibri" w:eastAsia="Calibri" w:hAnsi="Calibri"/>
          <w:sz w:val="22"/>
          <w:szCs w:val="22"/>
        </w:rPr>
      </w:pPr>
      <w:r>
        <w:t xml:space="preserve">Sensitive fields (file_path, embedding_json) are stripped from all client-facing responses.</w:t>
      </w:r>
    </w:p>
    <w:p>
      <w:pPr>
        <w:pStyle w:val="ListParagraph"/>
        <w:numPr>
          <w:ilvl w:val="0"/>
          <w:numId w:val="1"/>
        </w:numPr>
        <w:spacing w:after="80"/>
        <w:rPr>
          <w:rFonts w:ascii="Calibri" w:cs="Calibri" w:eastAsia="Calibri" w:hAnsi="Calibri"/>
          <w:sz w:val="22"/>
          <w:szCs w:val="22"/>
        </w:rPr>
      </w:pPr>
      <w:r>
        <w:t xml:space="preserve">Deleting an assignment removes its uploaded files from disk.</w:t>
      </w:r>
    </w:p>
    <w:p>
      <w:pPr>
        <w:pStyle w:val="ListParagraph"/>
        <w:numPr>
          <w:ilvl w:val="0"/>
          <w:numId w:val="1"/>
        </w:numPr>
        <w:spacing w:after="80"/>
        <w:rPr>
          <w:rFonts w:ascii="Calibri" w:cs="Calibri" w:eastAsia="Calibri" w:hAnsi="Calibri"/>
          <w:sz w:val="22"/>
          <w:szCs w:val="22"/>
        </w:rPr>
      </w:pPr>
      <w:r>
        <w:t xml:space="preserve">WebSocket connections are rate-limited to 10 per IP address per 60-second window.</w:t>
      </w:r>
    </w:p>
    <w:p>
      <w:pPr>
        <w:pStyle w:val="Heading1"/>
        <w:spacing w:after="160" w:before="320"/>
      </w:pPr>
      <w:r>
        <w:t xml:space="preserve">9. Cloud-Native Features</w:t>
      </w:r>
    </w:p>
    <w:p>
      <w:pPr>
        <w:pStyle w:val="Heading2"/>
        <w:spacing w:after="120" w:before="260"/>
      </w:pPr>
      <w:r>
        <w:t xml:space="preserve">9.1 Autoscaling</w:t>
      </w:r>
    </w:p>
    <w:p>
      <w:pPr>
        <w:spacing w:after="160" w:line="276"/>
      </w:pPr>
      <w:r>
        <w:rPr>
          <w:rFonts w:ascii="Calibri" w:cs="Calibri" w:eastAsia="Calibri" w:hAnsi="Calibri"/>
          <w:sz w:val="22"/>
          <w:szCs w:val="22"/>
        </w:rPr>
        <w:t xml:space="preserve">The autoscaler polls the Redis queue depth every five seconds. A queue length above 10 triggers creation of a new worker via the Docker API; a queue length below 3 triggers removal of surplus workers. A 20-second cooldown separates scaling events, and worker count is bounded between 1 and 5. This behaviour can be demonstrated by submitting 20 or more files in rapid succession and observing new plagioscale-worker-N containers appear in docker ps, then disappear as the queue drains.</w:t>
      </w:r>
    </w:p>
    <w:p>
      <w:pPr>
        <w:pStyle w:val="Heading2"/>
        <w:spacing w:after="120" w:before="260"/>
      </w:pPr>
      <w:r>
        <w:t xml:space="preserve">9.2 Self-Healing</w:t>
      </w:r>
    </w:p>
    <w:p>
      <w:pPr>
        <w:spacing w:after="160" w:line="276"/>
      </w:pPr>
      <w:r>
        <w:rPr>
          <w:rFonts w:ascii="Calibri" w:cs="Calibri" w:eastAsia="Calibri" w:hAnsi="Calibri"/>
          <w:sz w:val="22"/>
          <w:szCs w:val="22"/>
        </w:rPr>
        <w:t xml:space="preserve">Six self-healing mechanisms are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50"/>
      </w:tblGrid>
      <w:tr>
        <w:trPr>
          <w:tblHeader/>
        </w:trPr>
        <w:tc>
          <w:tcPr>
            <w:tcW w:type="dxa" w:w="5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w:t>
            </w:r>
          </w:p>
        </w:tc>
        <w:tc>
          <w:tcPr>
            <w:tcW w:type="dxa" w:w="2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Mechanism</w:t>
            </w:r>
          </w:p>
        </w:tc>
        <w:tc>
          <w:tcPr>
            <w:tcW w:type="dxa" w:w="64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What It Does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DB auto-reconnection</w:t>
            </w:r>
          </w:p>
        </w:tc>
        <w:tc>
          <w:tcPr>
            <w:tcW w:type="dxa" w:w="64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background task pings the database every 30 seconds; on recovery it calls init_db()</w:t>
            </w:r>
          </w:p>
        </w:tc>
      </w:tr>
      <w:tr>
        <w:tc>
          <w:tcPr>
            <w:tcW w:type="dxa" w:w="5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w:t>
            </w:r>
          </w:p>
        </w:tc>
        <w:tc>
          <w:tcPr>
            <w:tcW w:type="dxa" w:w="2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Dependency-aware /health</w:t>
            </w:r>
          </w:p>
        </w:tc>
        <w:tc>
          <w:tcPr>
            <w:tcW w:type="dxa" w:w="64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Returns "degraded" (not HTTP 500) when Redis or the database is unavailable</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Stale job recovery</w:t>
            </w:r>
          </w:p>
        </w:tc>
        <w:tc>
          <w:tcPr>
            <w:tcW w:type="dxa" w:w="64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Finds jobs stuck in PROCESSING for over 300 seconds and retries or dead-letters them</w:t>
            </w:r>
          </w:p>
        </w:tc>
      </w:tr>
      <w:tr>
        <w:tc>
          <w:tcPr>
            <w:tcW w:type="dxa" w:w="5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w:t>
            </w:r>
          </w:p>
        </w:tc>
        <w:tc>
          <w:tcPr>
            <w:tcW w:type="dxa" w:w="2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Failed job retry</w:t>
            </w:r>
          </w:p>
        </w:tc>
        <w:tc>
          <w:tcPr>
            <w:tcW w:type="dxa" w:w="64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Re-enqueues failed jobs up to three times with backoff</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Dead letter consumer</w:t>
            </w:r>
          </w:p>
        </w:tc>
        <w:tc>
          <w:tcPr>
            <w:tcW w:type="dxa" w:w="64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Scans the dead-letter queue every 60 seconds and re-queues recoverable jobs</w:t>
            </w:r>
          </w:p>
        </w:tc>
      </w:tr>
      <w:tr>
        <w:tc>
          <w:tcPr>
            <w:tcW w:type="dxa" w:w="5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w:t>
            </w:r>
          </w:p>
        </w:tc>
        <w:tc>
          <w:tcPr>
            <w:tcW w:type="dxa" w:w="24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Alertmanager webhook</w:t>
            </w:r>
          </w:p>
        </w:tc>
        <w:tc>
          <w:tcPr>
            <w:tcW w:type="dxa" w:w="64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Routes alerts to the API for automated remediation</w:t>
            </w:r>
          </w:p>
        </w:tc>
      </w:tr>
    </w:tbl>
    <w:p>
      <w:pPr>
        <w:spacing w:after="160" w:line="276"/>
      </w:pPr>
      <w:r>
        <w:rPr>
          <w:rFonts w:ascii="Calibri" w:cs="Calibri" w:eastAsia="Calibri" w:hAnsi="Calibri"/>
          <w:sz w:val="22"/>
          <w:szCs w:val="22"/>
        </w:rPr>
        <w:t xml:space="preserve">This behaviour can be demonstrated by stopping the PostgreSQL container, observing the API logs report the database as down, then restarting PostgreSQL and observing automatic reconnection.</w:t>
      </w:r>
    </w:p>
    <w:p>
      <w:pPr>
        <w:pStyle w:val="Heading2"/>
        <w:spacing w:after="120" w:before="260"/>
      </w:pPr>
      <w:r>
        <w:t xml:space="preserve">9.3 Monitoring Stack</w:t>
      </w:r>
    </w:p>
    <w:p>
      <w:pPr>
        <w:spacing w:after="160" w:line="276"/>
      </w:pPr>
      <w:r>
        <w:rPr>
          <w:rFonts w:ascii="Calibri" w:cs="Calibri" w:eastAsia="Calibri" w:hAnsi="Calibri"/>
          <w:sz w:val="22"/>
          <w:szCs w:val="22"/>
        </w:rPr>
        <w:t xml:space="preserve">Prometheus scrapes four targets (the API, worker, autoscaler, and monitoring services) every five seconds and enforces five alert rules: ServiceDown, QueueDepthHigh, JobFailureRate, ApiLatencyHigh, and DatabaseConnectionLost. Grafana ships with two pre-provisioned dashboards, "PlagioScale Overview" and "Audit &amp; Operations," auto-refreshing every 10 seconds with an auto-configured Prometheus data source. The monitoring service additionally exposes a live HTML dashboard at port 8090 showing real-time queue depth, worker count, job statistics, and a container health grid.</w:t>
      </w:r>
    </w:p>
    <w:p>
      <w:pPr>
        <w:pStyle w:val="Heading2"/>
        <w:spacing w:after="120" w:before="260"/>
      </w:pPr>
      <w:r>
        <w:t xml:space="preserve">9.4 Resource Isolation</w:t>
      </w:r>
    </w:p>
    <w:p>
      <w:pPr>
        <w:spacing w:after="160" w:line="276"/>
      </w:pPr>
      <w:r>
        <w:rPr>
          <w:rFonts w:ascii="Calibri" w:cs="Calibri" w:eastAsia="Calibri" w:hAnsi="Calibri"/>
          <w:sz w:val="22"/>
          <w:szCs w:val="22"/>
        </w:rPr>
        <w:t xml:space="preserve">Every container is configured with a CPU limit between 0.1 and 0.5 cores, a memory limit between 64MB and 2048MB, a health check (HTTP endpoint or command-based), and an unless-stopped restart policy. This prevents any single service from starving others and enables realistic autoscaling behaviour.</w:t>
      </w:r>
    </w:p>
    <w:p>
      <w:pPr>
        <w:pStyle w:val="Heading2"/>
        <w:spacing w:after="120" w:before="260"/>
      </w:pPr>
      <w:r>
        <w:t xml:space="preserve">9.5 Load Balancing</w:t>
      </w:r>
    </w:p>
    <w:p>
      <w:pPr>
        <w:spacing w:after="160" w:line="276"/>
      </w:pPr>
      <w:r>
        <w:rPr>
          <w:rFonts w:ascii="Calibri" w:cs="Calibri" w:eastAsia="Calibri" w:hAnsi="Calibri"/>
          <w:sz w:val="22"/>
          <w:szCs w:val="22"/>
        </w:rPr>
        <w:t xml:space="preserve">Load balancing is not implemented: the platform runs a single API replica with no reverse-proxy load balancer. This is noted explicitly as future work in Section 13.</w:t>
      </w:r>
    </w:p>
    <w:p>
      <w:pPr>
        <w:pStyle w:val="Heading1"/>
        <w:spacing w:after="160" w:before="320"/>
      </w:pPr>
      <w:r>
        <w:t xml:space="preserve">10. Deployment and Configuration</w:t>
      </w:r>
    </w:p>
    <w:p>
      <w:pPr>
        <w:pStyle w:val="Heading2"/>
        <w:spacing w:after="120" w:before="260"/>
      </w:pPr>
      <w:r>
        <w:t xml:space="preserve">10.1 Docker Compose</w:t>
      </w:r>
    </w:p>
    <w:p>
      <w:pPr>
        <w:spacing w:after="160" w:line="276"/>
      </w:pPr>
      <w:r>
        <w:rPr>
          <w:rFonts w:ascii="Calibri" w:cs="Calibri" w:eastAsia="Calibri" w:hAnsi="Calibri"/>
          <w:sz w:val="22"/>
          <w:szCs w:val="22"/>
        </w:rPr>
        <w:t xml:space="preserve">The deployment is defined in a 306-line docker-compose.yml comprising 11 services on a single bridge network (plagioscale-network), with 7 named volumes for persistent data, resource limits and health checks on every service, and non-root execution (UID 65532) for the API and worker services.</w:t>
      </w:r>
    </w:p>
    <w:p>
      <w:pPr>
        <w:pStyle w:val="Heading2"/>
        <w:spacing w:after="120" w:before="260"/>
      </w:pPr>
      <w:r>
        <w:t xml:space="preserve">10.2 Environment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Variable</w:t>
            </w:r>
          </w:p>
        </w:tc>
        <w:tc>
          <w:tcPr>
            <w:tcW w:type="dxa" w:w="615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Purpose</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JWT_SECRET</w:t>
            </w:r>
          </w:p>
        </w:tc>
        <w:tc>
          <w:tcPr>
            <w:tcW w:type="dxa" w:w="6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JWT signing secret (required)</w:t>
            </w:r>
          </w:p>
        </w:tc>
      </w:tr>
      <w:tr>
        <w:tc>
          <w:tcPr>
            <w:tcW w:type="dxa" w:w="3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CSRF_SECRET</w:t>
            </w:r>
          </w:p>
        </w:tc>
        <w:tc>
          <w:tcPr>
            <w:tcW w:type="dxa" w:w="6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CSRF HMAC secret (falls back to JWT_SECRET)</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WORKER_SECRET</w:t>
            </w:r>
          </w:p>
        </w:tc>
        <w:tc>
          <w:tcPr>
            <w:tcW w:type="dxa" w:w="6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Worker-to-API authentication</w:t>
            </w:r>
          </w:p>
        </w:tc>
      </w:tr>
      <w:tr>
        <w:tc>
          <w:tcPr>
            <w:tcW w:type="dxa" w:w="3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REDIS_PASSWORD</w:t>
            </w:r>
          </w:p>
        </w:tc>
        <w:tc>
          <w:tcPr>
            <w:tcW w:type="dxa" w:w="6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Redis authentication</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SMTP_HOST/PORT/USER/PASSWORD</w:t>
            </w:r>
          </w:p>
        </w:tc>
        <w:tc>
          <w:tcPr>
            <w:tcW w:type="dxa" w:w="6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Email notification configuration</w:t>
            </w:r>
          </w:p>
        </w:tc>
      </w:tr>
      <w:tr>
        <w:tc>
          <w:tcPr>
            <w:tcW w:type="dxa" w:w="3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USE_MTLS</w:t>
            </w:r>
          </w:p>
        </w:tc>
        <w:tc>
          <w:tcPr>
            <w:tcW w:type="dxa" w:w="6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Enable mutual TLS (default: false)</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SCALE_UP_THRESHOLD</w:t>
            </w:r>
          </w:p>
        </w:tc>
        <w:tc>
          <w:tcPr>
            <w:tcW w:type="dxa" w:w="6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Autoscaler scale-up threshold (default: 10)</w:t>
            </w:r>
          </w:p>
        </w:tc>
      </w:tr>
      <w:tr>
        <w:tc>
          <w:tcPr>
            <w:tcW w:type="dxa" w:w="320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SCALE_DOWN_THRESHOLD</w:t>
            </w:r>
          </w:p>
        </w:tc>
        <w:tc>
          <w:tcPr>
            <w:tcW w:type="dxa" w:w="6150"/>
            <w:shd w:fill="F5F7FB"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Autoscaler scale-down threshold (default: 3)</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MIN_WORKERS / MAX_WORKERS</w:t>
            </w:r>
          </w:p>
        </w:tc>
        <w:tc>
          <w:tcPr>
            <w:tcW w:type="dxa" w:w="61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Worker count limits (default: 1 / 5)</w:t>
            </w:r>
          </w:p>
        </w:tc>
      </w:tr>
    </w:tbl>
    <w:p>
      <w:pPr>
        <w:pStyle w:val="Heading2"/>
        <w:spacing w:after="120" w:before="260"/>
      </w:pPr>
      <w:r>
        <w:t xml:space="preserve">10.3 CI/CD</w:t>
      </w:r>
    </w:p>
    <w:p>
      <w:pPr>
        <w:spacing w:after="160" w:line="276"/>
      </w:pPr>
      <w:r>
        <w:rPr>
          <w:rFonts w:ascii="Calibri" w:cs="Calibri" w:eastAsia="Calibri" w:hAnsi="Calibri"/>
          <w:sz w:val="22"/>
          <w:szCs w:val="22"/>
        </w:rPr>
        <w:t xml:space="preserve">A GitHub Actions workflow (.github/workflows/ci.yml) builds and pushes five Docker images to the GitHub Container Registry on every push to the main branch, tagging images with both the commit SHA and latest. Deployment is performed via IMAGE_OWNER=x IMAGE_TAG=latest bash scripts/deploy.sh.</w:t>
      </w:r>
    </w:p>
    <w:p>
      <w:pPr>
        <w:pStyle w:val="Heading2"/>
        <w:spacing w:after="120" w:before="260"/>
      </w:pPr>
      <w:r>
        <w:t xml:space="preserve">10.4 Mutual TLS (Optional)</w:t>
      </w:r>
    </w:p>
    <w:p>
      <w:pPr>
        <w:spacing w:after="160" w:line="276"/>
      </w:pPr>
      <w:r>
        <w:rPr>
          <w:rFonts w:ascii="Calibri" w:cs="Calibri" w:eastAsia="Calibri" w:hAnsi="Calibri"/>
          <w:sz w:val="22"/>
          <w:szCs w:val="22"/>
        </w:rPr>
        <w:t xml:space="preserve">When USE_MTLS is set to true, certificates are auto-generated in a certs/ directory, the API runs with uvicorn SSL on port 8443, and workers present client certificates when communicating with the API.</w:t>
      </w:r>
    </w:p>
    <w:p>
      <w:pPr>
        <w:pStyle w:val="Heading1"/>
        <w:spacing w:after="160" w:before="320"/>
      </w:pPr>
      <w:r>
        <w:t xml:space="preserve">11. Testing</w:t>
      </w:r>
    </w:p>
    <w:p>
      <w:pPr>
        <w:pStyle w:val="Heading2"/>
        <w:spacing w:after="120" w:before="260"/>
      </w:pPr>
      <w:r>
        <w:t xml:space="preserve">11.1 Test Suite</w:t>
      </w:r>
    </w:p>
    <w:p>
      <w:pPr>
        <w:spacing w:after="160" w:line="276"/>
      </w:pPr>
      <w:r>
        <w:rPr>
          <w:rFonts w:ascii="Calibri" w:cs="Calibri" w:eastAsia="Calibri" w:hAnsi="Calibri"/>
          <w:sz w:val="22"/>
          <w:szCs w:val="22"/>
        </w:rPr>
        <w:t xml:space="preserve">The platform is covered by 183 or more automated tests: 13 backend tests (authentication, CSRF, rate limiting, endpoints) under api-service/tests/, 109 shared-module tests under shared/tests/ covering all seven shared modules, 30 frontend tests under frontend/src/tests/ (authentication, authenticated fetch, WebSocket, auth guards, and the App component), and a smaller worker-initialization suite under worker-service/tests/.</w:t>
      </w:r>
    </w:p>
    <w:p>
      <w:pPr>
        <w:pStyle w:val="Heading2"/>
        <w:spacing w:after="120" w:before="260"/>
      </w:pPr>
      <w:r>
        <w:t xml:space="preserve">11.2 Test Approach</w:t>
      </w:r>
    </w:p>
    <w:p>
      <w:pPr>
        <w:spacing w:after="160" w:line="276"/>
      </w:pPr>
      <w:r>
        <w:rPr>
          <w:rFonts w:ascii="Calibri" w:cs="Calibri" w:eastAsia="Calibri" w:hAnsi="Calibri"/>
          <w:sz w:val="22"/>
          <w:szCs w:val="22"/>
        </w:rPr>
        <w:t xml:space="preserve">All tests run against mocked dependencies rather than a live database or Redis instance: backend tests mock the shared.database module via conftest.py, and frontend tests run under Vitest with a jsdom environment. An end-to-end smoke test additionally verified 17 of 17 behaviours against the live Docker stack.</w:t>
      </w:r>
    </w:p>
    <w:p>
      <w:pPr>
        <w:pStyle w:val="Heading2"/>
        <w:spacing w:after="120" w:before="260"/>
      </w:pPr>
      <w:r>
        <w:t xml:space="preserve">11.3 CI Checks</w:t>
      </w:r>
    </w:p>
    <w:p>
      <w:pPr>
        <w:pStyle w:val="ListParagraph"/>
        <w:numPr>
          <w:ilvl w:val="0"/>
          <w:numId w:val="1"/>
        </w:numPr>
        <w:spacing w:after="80"/>
        <w:rPr>
          <w:rFonts w:ascii="Calibri" w:cs="Calibri" w:eastAsia="Calibri" w:hAnsi="Calibri"/>
          <w:sz w:val="22"/>
          <w:szCs w:val="22"/>
        </w:rPr>
      </w:pPr>
      <w:r>
        <w:t xml:space="preserve">ruff check — Python linting</w:t>
      </w:r>
    </w:p>
    <w:p>
      <w:pPr>
        <w:pStyle w:val="ListParagraph"/>
        <w:numPr>
          <w:ilvl w:val="0"/>
          <w:numId w:val="1"/>
        </w:numPr>
        <w:spacing w:after="80"/>
        <w:rPr>
          <w:rFonts w:ascii="Calibri" w:cs="Calibri" w:eastAsia="Calibri" w:hAnsi="Calibri"/>
          <w:sz w:val="22"/>
          <w:szCs w:val="22"/>
        </w:rPr>
      </w:pPr>
      <w:r>
        <w:t xml:space="preserve">eslint — JavaScript linting, run with zero warnings</w:t>
      </w:r>
    </w:p>
    <w:p>
      <w:pPr>
        <w:pStyle w:val="ListParagraph"/>
        <w:numPr>
          <w:ilvl w:val="0"/>
          <w:numId w:val="1"/>
        </w:numPr>
        <w:spacing w:after="80"/>
        <w:rPr>
          <w:rFonts w:ascii="Calibri" w:cs="Calibri" w:eastAsia="Calibri" w:hAnsi="Calibri"/>
          <w:sz w:val="22"/>
          <w:szCs w:val="22"/>
        </w:rPr>
      </w:pPr>
      <w:r>
        <w:t xml:space="preserve">pytest — full backend test suite</w:t>
      </w:r>
    </w:p>
    <w:p>
      <w:pPr>
        <w:pStyle w:val="ListParagraph"/>
        <w:numPr>
          <w:ilvl w:val="0"/>
          <w:numId w:val="1"/>
        </w:numPr>
        <w:spacing w:after="80"/>
        <w:rPr>
          <w:rFonts w:ascii="Calibri" w:cs="Calibri" w:eastAsia="Calibri" w:hAnsi="Calibri"/>
          <w:sz w:val="22"/>
          <w:szCs w:val="22"/>
        </w:rPr>
      </w:pPr>
      <w:r>
        <w:t xml:space="preserve">vite build — frontend production build</w:t>
      </w:r>
    </w:p>
    <w:p>
      <w:pPr>
        <w:pStyle w:val="Heading1"/>
        <w:spacing w:after="160" w:before="320"/>
      </w:pPr>
      <w:r>
        <w:t xml:space="preserve">12. Performance</w:t>
      </w:r>
    </w:p>
    <w:p>
      <w:pPr>
        <w:pStyle w:val="Heading2"/>
        <w:spacing w:after="120" w:before="260"/>
      </w:pPr>
      <w:r>
        <w:t xml:space="preserve">12.1 Stress Test Results</w:t>
      </w:r>
    </w:p>
    <w:p>
      <w:pPr>
        <w:spacing w:after="160" w:line="276"/>
      </w:pPr>
      <w:r>
        <w:rPr>
          <w:rFonts w:ascii="Calibri" w:cs="Calibri" w:eastAsia="Calibri" w:hAnsi="Calibri"/>
          <w:sz w:val="22"/>
          <w:szCs w:val="22"/>
        </w:rPr>
        <w:t xml:space="preserve">Under stress testing, the API service achieved an average latency of 28 milliseconds and sustained concurrent submissions through queue-based processing without degradation.</w:t>
      </w:r>
    </w:p>
    <w:p>
      <w:pPr>
        <w:pStyle w:val="Heading2"/>
        <w:spacing w:after="120" w:before="260"/>
      </w:pPr>
      <w:r>
        <w:t xml:space="preserve">12.2 Optimization Techniques</w:t>
      </w:r>
    </w:p>
    <w:p>
      <w:pPr>
        <w:pStyle w:val="ListParagraph"/>
        <w:numPr>
          <w:ilvl w:val="0"/>
          <w:numId w:val="1"/>
        </w:numPr>
        <w:spacing w:after="80"/>
        <w:rPr>
          <w:rFonts w:ascii="Calibri" w:cs="Calibri" w:eastAsia="Calibri" w:hAnsi="Calibri"/>
          <w:sz w:val="22"/>
          <w:szCs w:val="22"/>
        </w:rPr>
      </w:pPr>
      <w:r>
        <w:t xml:space="preserve">SBERT batch encoding — 32 texts encoded per batch, 10–50x faster than one-by-one encoding.</w:t>
      </w:r>
    </w:p>
    <w:p>
      <w:pPr>
        <w:pStyle w:val="ListParagraph"/>
        <w:numPr>
          <w:ilvl w:val="0"/>
          <w:numId w:val="1"/>
        </w:numPr>
        <w:spacing w:after="80"/>
        <w:rPr>
          <w:rFonts w:ascii="Calibri" w:cs="Calibri" w:eastAsia="Calibri" w:hAnsi="Calibri"/>
          <w:sz w:val="22"/>
          <w:szCs w:val="22"/>
        </w:rPr>
      </w:pPr>
      <w:r>
        <w:t xml:space="preserve">Vectorized cosine similarity — computed via NumPy dot products rather than explicit loops.</w:t>
      </w:r>
    </w:p>
    <w:p>
      <w:pPr>
        <w:pStyle w:val="ListParagraph"/>
        <w:numPr>
          <w:ilvl w:val="0"/>
          <w:numId w:val="1"/>
        </w:numPr>
        <w:spacing w:after="80"/>
        <w:rPr>
          <w:rFonts w:ascii="Calibri" w:cs="Calibri" w:eastAsia="Calibri" w:hAnsi="Calibri"/>
          <w:sz w:val="22"/>
          <w:szCs w:val="22"/>
        </w:rPr>
      </w:pPr>
      <w:r>
        <w:t xml:space="preserve">Atomic Redis pipeline — enqueue operations are atomic, preventing race conditions.</w:t>
      </w:r>
    </w:p>
    <w:p>
      <w:pPr>
        <w:pStyle w:val="ListParagraph"/>
        <w:numPr>
          <w:ilvl w:val="0"/>
          <w:numId w:val="1"/>
        </w:numPr>
        <w:spacing w:after="80"/>
        <w:rPr>
          <w:rFonts w:ascii="Calibri" w:cs="Calibri" w:eastAsia="Calibri" w:hAnsi="Calibri"/>
          <w:sz w:val="22"/>
          <w:szCs w:val="22"/>
        </w:rPr>
      </w:pPr>
      <w:r>
        <w:t xml:space="preserve">N+1 query fix — replaced N individual queries with a single .in_() query.</w:t>
      </w:r>
    </w:p>
    <w:p>
      <w:pPr>
        <w:pStyle w:val="ListParagraph"/>
        <w:numPr>
          <w:ilvl w:val="0"/>
          <w:numId w:val="1"/>
        </w:numPr>
        <w:spacing w:after="80"/>
        <w:rPr>
          <w:rFonts w:ascii="Calibri" w:cs="Calibri" w:eastAsia="Calibri" w:hAnsi="Calibri"/>
          <w:sz w:val="22"/>
          <w:szCs w:val="22"/>
        </w:rPr>
      </w:pPr>
      <w:r>
        <w:t xml:space="preserve">Database connection pooling — pool_size=10, max_overflow=20.</w:t>
      </w:r>
    </w:p>
    <w:p>
      <w:pPr>
        <w:pStyle w:val="ListParagraph"/>
        <w:numPr>
          <w:ilvl w:val="0"/>
          <w:numId w:val="1"/>
        </w:numPr>
        <w:spacing w:after="80"/>
        <w:rPr>
          <w:rFonts w:ascii="Calibri" w:cs="Calibri" w:eastAsia="Calibri" w:hAnsi="Calibri"/>
          <w:sz w:val="22"/>
          <w:szCs w:val="22"/>
        </w:rPr>
      </w:pPr>
      <w:r>
        <w:t xml:space="preserve">Lazy model loading — ML models load on first use rather than at process startup.</w:t>
      </w:r>
    </w:p>
    <w:p>
      <w:pPr>
        <w:pStyle w:val="ListParagraph"/>
        <w:numPr>
          <w:ilvl w:val="0"/>
          <w:numId w:val="1"/>
        </w:numPr>
        <w:spacing w:after="80"/>
        <w:rPr>
          <w:rFonts w:ascii="Calibri" w:cs="Calibri" w:eastAsia="Calibri" w:hAnsi="Calibri"/>
          <w:sz w:val="22"/>
          <w:szCs w:val="22"/>
        </w:rPr>
      </w:pPr>
      <w:r>
        <w:t xml:space="preserve">Pre-computed Jaccard — n-gram sets are computed once and reused across comparisons.</w:t>
      </w:r>
    </w:p>
    <w:p>
      <w:pPr>
        <w:pStyle w:val="Heading1"/>
        <w:spacing w:after="160" w:before="320"/>
      </w:pPr>
      <w:r>
        <w:t xml:space="preserve">13. Limitations</w:t>
      </w:r>
    </w:p>
    <w:p>
      <w:pPr>
        <w:pStyle w:val="ListParagraph"/>
        <w:numPr>
          <w:ilvl w:val="0"/>
          <w:numId w:val="1"/>
        </w:numPr>
        <w:spacing w:after="80"/>
        <w:rPr>
          <w:rFonts w:ascii="Calibri" w:cs="Calibri" w:eastAsia="Calibri" w:hAnsi="Calibri"/>
          <w:sz w:val="22"/>
          <w:szCs w:val="22"/>
        </w:rPr>
      </w:pPr>
      <w:r>
        <w:t xml:space="preserve">No load balancing: a single API instance cannot absorb traffic spikes beyond one server.</w:t>
      </w:r>
    </w:p>
    <w:p>
      <w:pPr>
        <w:pStyle w:val="ListParagraph"/>
        <w:numPr>
          <w:ilvl w:val="0"/>
          <w:numId w:val="1"/>
        </w:numPr>
        <w:spacing w:after="80"/>
        <w:rPr>
          <w:rFonts w:ascii="Calibri" w:cs="Calibri" w:eastAsia="Calibri" w:hAnsi="Calibri"/>
          <w:sz w:val="22"/>
          <w:szCs w:val="22"/>
        </w:rPr>
      </w:pPr>
      <w:r>
        <w:t xml:space="preserve">No multi-replica API: WebSocket scaling is single-instance only, with no Redis Pub/Sub fan-out.</w:t>
      </w:r>
    </w:p>
    <w:p>
      <w:pPr>
        <w:pStyle w:val="ListParagraph"/>
        <w:numPr>
          <w:ilvl w:val="0"/>
          <w:numId w:val="1"/>
        </w:numPr>
        <w:spacing w:after="80"/>
        <w:rPr>
          <w:rFonts w:ascii="Calibri" w:cs="Calibri" w:eastAsia="Calibri" w:hAnsi="Calibri"/>
          <w:sz w:val="22"/>
          <w:szCs w:val="22"/>
        </w:rPr>
      </w:pPr>
      <w:r>
        <w:t xml:space="preserve">Simulated external lookup: the system does not query external databases or the live internet.</w:t>
      </w:r>
    </w:p>
    <w:p>
      <w:pPr>
        <w:pStyle w:val="ListParagraph"/>
        <w:numPr>
          <w:ilvl w:val="0"/>
          <w:numId w:val="1"/>
        </w:numPr>
        <w:spacing w:after="80"/>
        <w:rPr>
          <w:rFonts w:ascii="Calibri" w:cs="Calibri" w:eastAsia="Calibri" w:hAnsi="Calibri"/>
          <w:sz w:val="22"/>
          <w:szCs w:val="22"/>
        </w:rPr>
      </w:pPr>
      <w:r>
        <w:t xml:space="preserve">No custom training: all ML models are pre-trained, with no domain-specific fine-tuning.</w:t>
      </w:r>
    </w:p>
    <w:p>
      <w:pPr>
        <w:pStyle w:val="ListParagraph"/>
        <w:numPr>
          <w:ilvl w:val="0"/>
          <w:numId w:val="1"/>
        </w:numPr>
        <w:spacing w:after="80"/>
        <w:rPr>
          <w:rFonts w:ascii="Calibri" w:cs="Calibri" w:eastAsia="Calibri" w:hAnsi="Calibri"/>
          <w:sz w:val="22"/>
          <w:szCs w:val="22"/>
        </w:rPr>
      </w:pPr>
      <w:r>
        <w:t xml:space="preserve">English only: text extraction and ML models assume English-language text.</w:t>
      </w:r>
    </w:p>
    <w:p>
      <w:pPr>
        <w:pStyle w:val="ListParagraph"/>
        <w:numPr>
          <w:ilvl w:val="0"/>
          <w:numId w:val="1"/>
        </w:numPr>
        <w:spacing w:after="80"/>
        <w:rPr>
          <w:rFonts w:ascii="Calibri" w:cs="Calibri" w:eastAsia="Calibri" w:hAnsi="Calibri"/>
          <w:sz w:val="22"/>
          <w:szCs w:val="22"/>
        </w:rPr>
      </w:pPr>
      <w:r>
        <w:t xml:space="preserve">No real-time streaming: processing is batch-based, with no streaming plagiarism detection.</w:t>
      </w:r>
    </w:p>
    <w:p>
      <w:pPr>
        <w:pStyle w:val="ListParagraph"/>
        <w:numPr>
          <w:ilvl w:val="0"/>
          <w:numId w:val="1"/>
        </w:numPr>
        <w:spacing w:after="80"/>
        <w:rPr>
          <w:rFonts w:ascii="Calibri" w:cs="Calibri" w:eastAsia="Calibri" w:hAnsi="Calibri"/>
          <w:sz w:val="22"/>
          <w:szCs w:val="22"/>
        </w:rPr>
      </w:pPr>
      <w:r>
        <w:t xml:space="preserve">Single-host deployment: Docker Compose only, with no Kubernetes orchestration.</w:t>
      </w:r>
    </w:p>
    <w:p>
      <w:pPr>
        <w:pStyle w:val="ListParagraph"/>
        <w:numPr>
          <w:ilvl w:val="0"/>
          <w:numId w:val="1"/>
        </w:numPr>
        <w:spacing w:after="80"/>
        <w:rPr>
          <w:rFonts w:ascii="Calibri" w:cs="Calibri" w:eastAsia="Calibri" w:hAnsi="Calibri"/>
          <w:sz w:val="22"/>
          <w:szCs w:val="22"/>
        </w:rPr>
      </w:pPr>
      <w:r>
        <w:t xml:space="preserve">No file versioning: re-submission replaces the prior file with no retained history.</w:t>
      </w:r>
    </w:p>
    <w:p>
      <w:pPr>
        <w:pStyle w:val="ListParagraph"/>
        <w:numPr>
          <w:ilvl w:val="0"/>
          <w:numId w:val="1"/>
        </w:numPr>
        <w:spacing w:after="80"/>
        <w:rPr>
          <w:rFonts w:ascii="Calibri" w:cs="Calibri" w:eastAsia="Calibri" w:hAnsi="Calibri"/>
          <w:sz w:val="22"/>
          <w:szCs w:val="22"/>
        </w:rPr>
      </w:pPr>
      <w:r>
        <w:t xml:space="preserve">OCR accuracy: pytesseract has limited accuracy on low-quality scans.</w:t>
      </w:r>
    </w:p>
    <w:p>
      <w:pPr>
        <w:pStyle w:val="ListParagraph"/>
        <w:numPr>
          <w:ilvl w:val="0"/>
          <w:numId w:val="1"/>
        </w:numPr>
        <w:spacing w:after="80"/>
        <w:rPr>
          <w:rFonts w:ascii="Calibri" w:cs="Calibri" w:eastAsia="Calibri" w:hAnsi="Calibri"/>
          <w:sz w:val="22"/>
          <w:szCs w:val="22"/>
        </w:rPr>
      </w:pPr>
      <w:r>
        <w:t xml:space="preserve">Memory-intensive: the worker requires roughly 2GB of RAM to host the ML models.</w:t>
      </w:r>
    </w:p>
    <w:p>
      <w:pPr>
        <w:pStyle w:val="Heading1"/>
        <w:spacing w:after="160" w:before="320"/>
      </w:pPr>
      <w:r>
        <w:t xml:space="preserve">14. Future Scope</w:t>
      </w:r>
    </w:p>
    <w:p>
      <w:pPr>
        <w:pStyle w:val="ListParagraph"/>
        <w:numPr>
          <w:ilvl w:val="0"/>
          <w:numId w:val="1"/>
        </w:numPr>
        <w:spacing w:after="80"/>
        <w:rPr>
          <w:rFonts w:ascii="Calibri" w:cs="Calibri" w:eastAsia="Calibri" w:hAnsi="Calibri"/>
          <w:sz w:val="22"/>
          <w:szCs w:val="22"/>
        </w:rPr>
      </w:pPr>
      <w:r>
        <w:t xml:space="preserve">Load balancing: introduce a Traefik or Nginx reverse proxy in front of a multi-replica API.</w:t>
      </w:r>
    </w:p>
    <w:p>
      <w:pPr>
        <w:pStyle w:val="ListParagraph"/>
        <w:numPr>
          <w:ilvl w:val="0"/>
          <w:numId w:val="1"/>
        </w:numPr>
        <w:spacing w:after="80"/>
        <w:rPr>
          <w:rFonts w:ascii="Calibri" w:cs="Calibri" w:eastAsia="Calibri" w:hAnsi="Calibri"/>
          <w:sz w:val="22"/>
          <w:szCs w:val="22"/>
        </w:rPr>
      </w:pPr>
      <w:r>
        <w:t xml:space="preserve">Kubernetes migration: move from Docker Compose to Kubernetes for production-grade deployment.</w:t>
      </w:r>
    </w:p>
    <w:p>
      <w:pPr>
        <w:pStyle w:val="ListParagraph"/>
        <w:numPr>
          <w:ilvl w:val="0"/>
          <w:numId w:val="1"/>
        </w:numPr>
        <w:spacing w:after="80"/>
        <w:rPr>
          <w:rFonts w:ascii="Calibri" w:cs="Calibri" w:eastAsia="Calibri" w:hAnsi="Calibri"/>
          <w:sz w:val="22"/>
          <w:szCs w:val="22"/>
        </w:rPr>
      </w:pPr>
      <w:r>
        <w:t xml:space="preserve">Custom model fine-tuning: train on institution-specific plagiarism patterns.</w:t>
      </w:r>
    </w:p>
    <w:p>
      <w:pPr>
        <w:pStyle w:val="ListParagraph"/>
        <w:numPr>
          <w:ilvl w:val="0"/>
          <w:numId w:val="1"/>
        </w:numPr>
        <w:spacing w:after="80"/>
        <w:rPr>
          <w:rFonts w:ascii="Calibri" w:cs="Calibri" w:eastAsia="Calibri" w:hAnsi="Calibri"/>
          <w:sz w:val="22"/>
          <w:szCs w:val="22"/>
        </w:rPr>
      </w:pPr>
      <w:r>
        <w:t xml:space="preserve">Multi-language support: extend text extraction and detection to Hindi, Chinese, and other languages.</w:t>
      </w:r>
    </w:p>
    <w:p>
      <w:pPr>
        <w:pStyle w:val="ListParagraph"/>
        <w:numPr>
          <w:ilvl w:val="0"/>
          <w:numId w:val="1"/>
        </w:numPr>
        <w:spacing w:after="80"/>
        <w:rPr>
          <w:rFonts w:ascii="Calibri" w:cs="Calibri" w:eastAsia="Calibri" w:hAnsi="Calibri"/>
          <w:sz w:val="22"/>
          <w:szCs w:val="22"/>
        </w:rPr>
      </w:pPr>
      <w:r>
        <w:t xml:space="preserve">Real-time detection: adopt stream processing for live submission monitoring.</w:t>
      </w:r>
    </w:p>
    <w:p>
      <w:pPr>
        <w:pStyle w:val="ListParagraph"/>
        <w:numPr>
          <w:ilvl w:val="0"/>
          <w:numId w:val="1"/>
        </w:numPr>
        <w:spacing w:after="80"/>
        <w:rPr>
          <w:rFonts w:ascii="Calibri" w:cs="Calibri" w:eastAsia="Calibri" w:hAnsi="Calibri"/>
          <w:sz w:val="22"/>
          <w:szCs w:val="22"/>
        </w:rPr>
      </w:pPr>
      <w:r>
        <w:t xml:space="preserve">Browser extension: build a Chrome extension for instructors.</w:t>
      </w:r>
    </w:p>
    <w:p>
      <w:pPr>
        <w:pStyle w:val="ListParagraph"/>
        <w:numPr>
          <w:ilvl w:val="0"/>
          <w:numId w:val="1"/>
        </w:numPr>
        <w:spacing w:after="80"/>
        <w:rPr>
          <w:rFonts w:ascii="Calibri" w:cs="Calibri" w:eastAsia="Calibri" w:hAnsi="Calibri"/>
          <w:sz w:val="22"/>
          <w:szCs w:val="22"/>
        </w:rPr>
      </w:pPr>
      <w:r>
        <w:t xml:space="preserve">LMS integration: develop plugins for Moodle, Blackboard, and Google Classroom.</w:t>
      </w:r>
    </w:p>
    <w:p>
      <w:pPr>
        <w:pStyle w:val="ListParagraph"/>
        <w:numPr>
          <w:ilvl w:val="0"/>
          <w:numId w:val="1"/>
        </w:numPr>
        <w:spacing w:after="80"/>
        <w:rPr>
          <w:rFonts w:ascii="Calibri" w:cs="Calibri" w:eastAsia="Calibri" w:hAnsi="Calibri"/>
          <w:sz w:val="22"/>
          <w:szCs w:val="22"/>
        </w:rPr>
      </w:pPr>
      <w:r>
        <w:t xml:space="preserve">Mobile app: build a React Native companion app.</w:t>
      </w:r>
    </w:p>
    <w:p>
      <w:pPr>
        <w:pStyle w:val="ListParagraph"/>
        <w:numPr>
          <w:ilvl w:val="0"/>
          <w:numId w:val="1"/>
        </w:numPr>
        <w:spacing w:after="80"/>
        <w:rPr>
          <w:rFonts w:ascii="Calibri" w:cs="Calibri" w:eastAsia="Calibri" w:hAnsi="Calibri"/>
          <w:sz w:val="22"/>
          <w:szCs w:val="22"/>
        </w:rPr>
      </w:pPr>
      <w:r>
        <w:t xml:space="preserve">Advanced analytics: add trend analysis, historical comparison, and department-level statistics.</w:t>
      </w:r>
    </w:p>
    <w:p>
      <w:pPr>
        <w:pStyle w:val="ListParagraph"/>
        <w:numPr>
          <w:ilvl w:val="0"/>
          <w:numId w:val="1"/>
        </w:numPr>
        <w:spacing w:after="80"/>
        <w:rPr>
          <w:rFonts w:ascii="Calibri" w:cs="Calibri" w:eastAsia="Calibri" w:hAnsi="Calibri"/>
          <w:sz w:val="22"/>
          <w:szCs w:val="22"/>
        </w:rPr>
      </w:pPr>
      <w:r>
        <w:t xml:space="preserve">File versioning: retain submission history with diff views.</w:t>
      </w:r>
    </w:p>
    <w:p>
      <w:pPr>
        <w:pStyle w:val="Heading1"/>
        <w:spacing w:after="160" w:before="320"/>
      </w:pPr>
      <w:r>
        <w:t xml:space="preserve">15. Alternatives Considered</w:t>
      </w:r>
    </w:p>
    <w:p>
      <w:pPr>
        <w:pStyle w:val="Heading2"/>
        <w:spacing w:after="120" w:before="260"/>
      </w:pPr>
      <w:r>
        <w:t xml:space="preserve">15.1 Why FastAPI over Django or Flask?</w:t>
      </w:r>
    </w:p>
    <w:p>
      <w:pPr>
        <w:spacing w:after="160" w:line="276"/>
      </w:pPr>
      <w:r>
        <w:rPr>
          <w:rFonts w:ascii="Calibri" w:cs="Calibri" w:eastAsia="Calibri" w:hAnsi="Calibri"/>
          <w:sz w:val="22"/>
          <w:szCs w:val="22"/>
        </w:rPr>
        <w:t xml:space="preserve">FastAPI was chosen for its async support, automatic OpenAPI documentation, Pydantic-based validation, and uvicorn-driven performance. Django was considered heavier and better suited to full web applications than an API-only service, with additional ORM overhead; Flask lacks native async support and automatic validation, requiring more boilerplate.</w:t>
      </w:r>
    </w:p>
    <w:p>
      <w:pPr>
        <w:pStyle w:val="Heading2"/>
        <w:spacing w:after="120" w:before="260"/>
      </w:pPr>
      <w:r>
        <w:t xml:space="preserve">15.2 Why Hybrid Similarity over Pure SBERT?</w:t>
      </w:r>
    </w:p>
    <w:p>
      <w:pPr>
        <w:spacing w:after="160" w:line="276"/>
      </w:pPr>
      <w:r>
        <w:rPr>
          <w:rFonts w:ascii="Calibri" w:cs="Calibri" w:eastAsia="Calibri" w:hAnsi="Calibri"/>
          <w:sz w:val="22"/>
          <w:szCs w:val="22"/>
        </w:rPr>
        <w:t xml:space="preserve">A pure-SBERT approach is slower and prone to over-semanticizing — flagging topically related but non-plagiarized text as similar. The hybrid approach lets TF-IDF catch exact copying, SBERT catch paraphrasing, and Jaccard catch reused phrasing; prior research supports hybrid methods outperforming single-method approaches for plagiarism detection.</w:t>
      </w:r>
    </w:p>
    <w:p>
      <w:pPr>
        <w:pStyle w:val="Heading2"/>
        <w:spacing w:after="120" w:before="260"/>
      </w:pPr>
      <w:r>
        <w:t xml:space="preserve">15.3 Why Composite AI Detection over a Pure Classifier?</w:t>
      </w:r>
    </w:p>
    <w:p>
      <w:pPr>
        <w:spacing w:after="160" w:line="276"/>
      </w:pPr>
      <w:r>
        <w:rPr>
          <w:rFonts w:ascii="Calibri" w:cs="Calibri" w:eastAsia="Calibri" w:hAnsi="Calibri"/>
          <w:sz w:val="22"/>
          <w:szCs w:val="22"/>
        </w:rPr>
        <w:t xml:space="preserve">A pure RoBERTa classifier may miss AI-generated text that has been lightly edited. The composite approach combines three independent signals — the classifier, perplexity, and stylometrics — for greater robustness, consistent with research showing that ensemble methods generally outperform single models for AI-text detection.</w:t>
      </w:r>
    </w:p>
    <w:p>
      <w:pPr>
        <w:pStyle w:val="Heading2"/>
        <w:spacing w:after="120" w:before="260"/>
      </w:pPr>
      <w:r>
        <w:t xml:space="preserve">15.4 Why Docker Compose over Kubernetes?</w:t>
      </w:r>
    </w:p>
    <w:p>
      <w:pPr>
        <w:spacing w:after="160" w:line="276"/>
      </w:pPr>
      <w:r>
        <w:rPr>
          <w:rFonts w:ascii="Calibri" w:cs="Calibri" w:eastAsia="Calibri" w:hAnsi="Calibri"/>
          <w:sz w:val="22"/>
          <w:szCs w:val="22"/>
        </w:rPr>
        <w:t xml:space="preserve">Docker Compose offers simpler setup and single-command deployment, sufficient for a demonstration system. Kubernetes offers superior production characteristics — auto-healing and rolling updates — at substantially higher operational complexity. Docker Compose was chosen for simplicity, with Kubernetes migration noted as future work.</w:t>
      </w:r>
    </w:p>
    <w:p>
      <w:pPr>
        <w:pStyle w:val="Heading1"/>
        <w:spacing w:after="160" w:before="320"/>
      </w:pPr>
      <w:r>
        <w:t xml:space="preserve">16. Conclusion</w:t>
      </w:r>
    </w:p>
    <w:p>
      <w:pPr>
        <w:spacing w:after="160" w:line="276"/>
      </w:pPr>
      <w:r>
        <w:rPr>
          <w:rFonts w:ascii="Calibri" w:cs="Calibri" w:eastAsia="Calibri" w:hAnsi="Calibri"/>
          <w:sz w:val="22"/>
          <w:szCs w:val="22"/>
        </w:rPr>
        <w:t xml:space="preserve">PlagioScale demonstrates that a fully self-hosted, privacy-preserving academic-integrity platform can combine multiple complementary detection techniques — lexical, semantic, and structural similarity alongside classifier-, perplexity-, and stylometry-based AI detection — within a realistic, observable, and self-healing microservices architecture. The system meets its stated objectives: a working FastAPI/React application, hybrid similarity and composite AI-detection pipelines, Docker Compose deployment with health checks and resource limits, queue-driven autoscaling, six self-healing mechanisms, a Prometheus/Grafana monitoring stack, and JWT/CSRF/bcrypt-based authentication, validated by a 183-test automated suite. The most significant constraints — single-host deployment, reliance on pre-trained rather than fine-tuned models, and English-only processing — are well understood and are directly reflected in the future-scope roadmap, including Kubernetes migration, model fine-tuning, and multi-language support.</w:t>
      </w:r>
    </w:p>
    <w:p>
      <w:pPr>
        <w:pStyle w:val="Heading1"/>
        <w:spacing w:after="160" w:before="320"/>
      </w:pPr>
      <w:r>
        <w:t xml:space="preserve">17. References</w:t>
      </w:r>
    </w:p>
    <w:p>
      <w:pPr>
        <w:pStyle w:val="Heading2"/>
        <w:spacing w:after="120" w:before="260"/>
      </w:pPr>
      <w:r>
        <w:t xml:space="preserve">Models</w:t>
      </w:r>
    </w:p>
    <w:p>
      <w:pPr>
        <w:pStyle w:val="ListParagraph"/>
        <w:numPr>
          <w:ilvl w:val="0"/>
          <w:numId w:val="1"/>
        </w:numPr>
        <w:spacing w:after="80"/>
        <w:rPr>
          <w:rFonts w:ascii="Calibri" w:cs="Calibri" w:eastAsia="Calibri" w:hAnsi="Calibri"/>
          <w:sz w:val="22"/>
          <w:szCs w:val="22"/>
        </w:rPr>
      </w:pPr>
      <w:r>
        <w:t xml:space="preserve">Reimers, N. &amp; Gurevych, I. (2019). Sentence-BERT: Sentence Embeddings using Siamese BERT-Networks. EMNLP 2019.</w:t>
      </w:r>
    </w:p>
    <w:p>
      <w:pPr>
        <w:pStyle w:val="ListParagraph"/>
        <w:numPr>
          <w:ilvl w:val="0"/>
          <w:numId w:val="1"/>
        </w:numPr>
        <w:spacing w:after="80"/>
        <w:rPr>
          <w:rFonts w:ascii="Calibri" w:cs="Calibri" w:eastAsia="Calibri" w:hAnsi="Calibri"/>
          <w:sz w:val="22"/>
          <w:szCs w:val="22"/>
        </w:rPr>
      </w:pPr>
      <w:r>
        <w:t xml:space="preserve">all-MiniLM-L12-v2: https://huggingface.co/sentence-transformers/all-MiniLM-L12-v2</w:t>
      </w:r>
    </w:p>
    <w:p>
      <w:pPr>
        <w:pStyle w:val="ListParagraph"/>
        <w:numPr>
          <w:ilvl w:val="0"/>
          <w:numId w:val="1"/>
        </w:numPr>
        <w:spacing w:after="80"/>
        <w:rPr>
          <w:rFonts w:ascii="Calibri" w:cs="Calibri" w:eastAsia="Calibri" w:hAnsi="Calibri"/>
          <w:sz w:val="22"/>
          <w:szCs w:val="22"/>
        </w:rPr>
      </w:pPr>
      <w:r>
        <w:t xml:space="preserve">Hello-SimpleAI/chatgpt-detector-roberta: https://huggingface.co/Hello-SimpleAI/chatgpt-detector-roberta</w:t>
      </w:r>
    </w:p>
    <w:p>
      <w:pPr>
        <w:pStyle w:val="ListParagraph"/>
        <w:numPr>
          <w:ilvl w:val="0"/>
          <w:numId w:val="1"/>
        </w:numPr>
        <w:spacing w:after="80"/>
        <w:rPr>
          <w:rFonts w:ascii="Calibri" w:cs="Calibri" w:eastAsia="Calibri" w:hAnsi="Calibri"/>
          <w:sz w:val="22"/>
          <w:szCs w:val="22"/>
        </w:rPr>
      </w:pPr>
      <w:r>
        <w:t xml:space="preserve">distilgpt2: https://huggingface.co/distilgpt2</w:t>
      </w:r>
    </w:p>
    <w:p>
      <w:pPr>
        <w:pStyle w:val="Heading2"/>
        <w:spacing w:after="120" w:before="260"/>
      </w:pPr>
      <w:r>
        <w:t xml:space="preserve">Technologies</w:t>
      </w:r>
    </w:p>
    <w:p>
      <w:pPr>
        <w:pStyle w:val="ListParagraph"/>
        <w:numPr>
          <w:ilvl w:val="0"/>
          <w:numId w:val="1"/>
        </w:numPr>
        <w:spacing w:after="80"/>
        <w:rPr>
          <w:rFonts w:ascii="Calibri" w:cs="Calibri" w:eastAsia="Calibri" w:hAnsi="Calibri"/>
          <w:sz w:val="22"/>
          <w:szCs w:val="22"/>
        </w:rPr>
      </w:pPr>
      <w:r>
        <w:t xml:space="preserve">FastAPI: https://fastapi.tiangolo.com/</w:t>
      </w:r>
    </w:p>
    <w:p>
      <w:pPr>
        <w:pStyle w:val="ListParagraph"/>
        <w:numPr>
          <w:ilvl w:val="0"/>
          <w:numId w:val="1"/>
        </w:numPr>
        <w:spacing w:after="80"/>
        <w:rPr>
          <w:rFonts w:ascii="Calibri" w:cs="Calibri" w:eastAsia="Calibri" w:hAnsi="Calibri"/>
          <w:sz w:val="22"/>
          <w:szCs w:val="22"/>
        </w:rPr>
      </w:pPr>
      <w:r>
        <w:t xml:space="preserve">SQLAlchemy: https://www.sqlalchemy.org/</w:t>
      </w:r>
    </w:p>
    <w:p>
      <w:pPr>
        <w:pStyle w:val="ListParagraph"/>
        <w:numPr>
          <w:ilvl w:val="0"/>
          <w:numId w:val="1"/>
        </w:numPr>
        <w:spacing w:after="80"/>
        <w:rPr>
          <w:rFonts w:ascii="Calibri" w:cs="Calibri" w:eastAsia="Calibri" w:hAnsi="Calibri"/>
          <w:sz w:val="22"/>
          <w:szCs w:val="22"/>
        </w:rPr>
      </w:pPr>
      <w:r>
        <w:t xml:space="preserve">Docker: https://www.docker.com/</w:t>
      </w:r>
    </w:p>
    <w:p>
      <w:pPr>
        <w:pStyle w:val="ListParagraph"/>
        <w:numPr>
          <w:ilvl w:val="0"/>
          <w:numId w:val="1"/>
        </w:numPr>
        <w:spacing w:after="80"/>
        <w:rPr>
          <w:rFonts w:ascii="Calibri" w:cs="Calibri" w:eastAsia="Calibri" w:hAnsi="Calibri"/>
          <w:sz w:val="22"/>
          <w:szCs w:val="22"/>
        </w:rPr>
      </w:pPr>
      <w:r>
        <w:t xml:space="preserve">Prometheus: https://prometheus.io/</w:t>
      </w:r>
    </w:p>
    <w:p>
      <w:pPr>
        <w:pStyle w:val="ListParagraph"/>
        <w:numPr>
          <w:ilvl w:val="0"/>
          <w:numId w:val="1"/>
        </w:numPr>
        <w:spacing w:after="80"/>
        <w:rPr>
          <w:rFonts w:ascii="Calibri" w:cs="Calibri" w:eastAsia="Calibri" w:hAnsi="Calibri"/>
          <w:sz w:val="22"/>
          <w:szCs w:val="22"/>
        </w:rPr>
      </w:pPr>
      <w:r>
        <w:t xml:space="preserve">Grafana: https://grafana.com/</w:t>
      </w:r>
    </w:p>
    <w:p>
      <w:pPr>
        <w:pStyle w:val="Heading2"/>
        <w:spacing w:after="120" w:before="260"/>
      </w:pPr>
      <w:r>
        <w:t xml:space="preserve">Algorithms</w:t>
      </w:r>
    </w:p>
    <w:p>
      <w:pPr>
        <w:pStyle w:val="ListParagraph"/>
        <w:numPr>
          <w:ilvl w:val="0"/>
          <w:numId w:val="1"/>
        </w:numPr>
        <w:spacing w:after="80"/>
        <w:rPr>
          <w:rFonts w:ascii="Calibri" w:cs="Calibri" w:eastAsia="Calibri" w:hAnsi="Calibri"/>
          <w:sz w:val="22"/>
          <w:szCs w:val="22"/>
        </w:rPr>
      </w:pPr>
      <w:r>
        <w:t xml:space="preserve">TF-IDF: Salton, G. &amp; Buckley, C. (1988). Term-weighting approaches in automatic text retrieval.</w:t>
      </w:r>
    </w:p>
    <w:p>
      <w:pPr>
        <w:pStyle w:val="ListParagraph"/>
        <w:numPr>
          <w:ilvl w:val="0"/>
          <w:numId w:val="1"/>
        </w:numPr>
        <w:spacing w:after="80"/>
        <w:rPr>
          <w:rFonts w:ascii="Calibri" w:cs="Calibri" w:eastAsia="Calibri" w:hAnsi="Calibri"/>
          <w:sz w:val="22"/>
          <w:szCs w:val="22"/>
        </w:rPr>
      </w:pPr>
      <w:r>
        <w:t xml:space="preserve">Cosine Similarity: Singhal, A. (2001). Modern Information Retrieval: A Brief Overview.</w:t>
      </w:r>
    </w:p>
    <w:p>
      <w:pPr>
        <w:pStyle w:val="ListParagraph"/>
        <w:numPr>
          <w:ilvl w:val="0"/>
          <w:numId w:val="1"/>
        </w:numPr>
        <w:spacing w:after="80"/>
        <w:rPr>
          <w:rFonts w:ascii="Calibri" w:cs="Calibri" w:eastAsia="Calibri" w:hAnsi="Calibri"/>
          <w:sz w:val="22"/>
          <w:szCs w:val="22"/>
        </w:rPr>
      </w:pPr>
      <w:r>
        <w:t xml:space="preserve">Jaccard Index: Jaccard, P. (1912). The distribution of the flora in the alpine zone.</w:t>
      </w:r>
    </w:p>
    <w:p>
      <w:pPr>
        <w:pStyle w:val="ListParagraph"/>
        <w:numPr>
          <w:ilvl w:val="0"/>
          <w:numId w:val="1"/>
        </w:numPr>
        <w:spacing w:after="80"/>
        <w:rPr>
          <w:rFonts w:ascii="Calibri" w:cs="Calibri" w:eastAsia="Calibri" w:hAnsi="Calibri"/>
          <w:sz w:val="22"/>
          <w:szCs w:val="22"/>
        </w:rPr>
      </w:pPr>
      <w:r>
        <w:t xml:space="preserve">BERT: Devlin, J. et al. (2019). BERT: Pre-training of Deep Bidirectional Transformers for Language Understanding.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PlagioScale —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3B6B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PlagioScale — Lab Report</dc:title>
  <dc:creator>Sweety</dc:creator>
  <cp:lastModifiedBy>Un-named</cp:lastModifiedBy>
  <cp:revision>1</cp:revision>
  <dcterms:created xsi:type="dcterms:W3CDTF">2026-08-25T18:04:56.816Z</dcterms:created>
  <dcterms:modified xsi:type="dcterms:W3CDTF">2026-08-25T18:04:56.816Z</dcterms:modified>
</cp:coreProperties>
</file>

<file path=docProps/custom.xml><?xml version="1.0" encoding="utf-8"?>
<Properties xmlns="http://schemas.openxmlformats.org/officeDocument/2006/custom-properties" xmlns:vt="http://schemas.openxmlformats.org/officeDocument/2006/docPropsVTypes"/>
</file>