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plagioscale-results-findings"/>
    <w:p>
      <w:pPr>
        <w:pStyle w:val="Heading1"/>
      </w:pPr>
      <w:r>
        <w:t xml:space="preserve">PlagioScale — Results &amp; Findings</w:t>
      </w:r>
    </w:p>
    <w:p>
      <w:pPr>
        <w:pStyle w:val="BlockText"/>
      </w:pPr>
      <w:r>
        <w:t xml:space="preserve">Companion document to</w:t>
      </w:r>
      <w:r>
        <w:t xml:space="preserve"> </w:t>
      </w:r>
      <w:r>
        <w:rPr>
          <w:rStyle w:val="VerbatimChar"/>
        </w:rPr>
        <w:t xml:space="preserve">lab_report.md</w:t>
      </w:r>
      <w:r>
        <w:t xml:space="preserve">. Contains</w:t>
      </w:r>
      <w:r>
        <w:t xml:space="preserve"> </w:t>
      </w:r>
      <w:r>
        <w:rPr>
          <w:b/>
          <w:bCs/>
        </w:rPr>
        <w:t xml:space="preserve">measured results from the live system</w:t>
      </w:r>
      <w:r>
        <w:t xml:space="preserve"> </w:t>
      </w:r>
      <w:r>
        <w:t xml:space="preserve">(captured 2026-08-25) plus findings, observations, and interpretation. Values marked</w:t>
      </w:r>
      <w:r>
        <w:t xml:space="preserve"> </w:t>
      </w:r>
      <w:r>
        <w:rPr>
          <w:i/>
          <w:iCs/>
        </w:rPr>
        <w:t xml:space="preserve">(re-run)</w:t>
      </w:r>
      <w:r>
        <w:t xml:space="preserve"> </w:t>
      </w:r>
      <w:r>
        <w:t xml:space="preserve">can be refreshed with the demo scripts.</w:t>
      </w:r>
    </w:p>
    <w:p>
      <w:r>
        <w:pict>
          <v:rect style="width:0;height:1.5pt" o:hralign="center" o:hrstd="t" o:hr="t"/>
        </w:pict>
      </w:r>
    </w:p>
    <w:bookmarkStart w:id="11" w:name="system-level-results-snapshot"/>
    <w:p>
      <w:pPr>
        <w:pStyle w:val="Heading2"/>
      </w:pPr>
      <w:r>
        <w:t xml:space="preserve">1. System-Level Results Snapshot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single host, Docker Compose stack, 10 containers, Windows host with Docker Desktop.</w:t>
      </w:r>
    </w:p>
    <w:bookmarkStart w:id="9" w:name="live-health-inventory"/>
    <w:p>
      <w:pPr>
        <w:pStyle w:val="Heading3"/>
      </w:pPr>
      <w:r>
        <w:t xml:space="preserve">1.1 Live Health &amp;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dependency</w:t>
            </w:r>
          </w:p>
        </w:tc>
        <w:tc>
          <w:tcPr/>
          <w:p>
            <w:pPr>
              <w:pStyle w:val="Compact"/>
            </w:pPr>
            <w:r>
              <w:t xml:space="preserve">up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dependency</w:t>
            </w:r>
          </w:p>
        </w:tc>
        <w:tc>
          <w:tcPr/>
          <w:p>
            <w:pPr>
              <w:pStyle w:val="Compact"/>
            </w:pPr>
            <w:r>
              <w:t xml:space="preserve">up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targets (4/4)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 zero scrape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 loaded</w:t>
            </w:r>
          </w:p>
        </w:tc>
        <w:tc>
          <w:tcPr/>
          <w:p>
            <w:pPr>
              <w:pStyle w:val="Compact"/>
            </w:pPr>
            <w:r>
              <w:t xml:space="preserve">5 (all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= nominal)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 at capture</w:t>
            </w:r>
          </w:p>
        </w:tc>
        <w:tc>
          <w:tcPr/>
          <w:p>
            <w:pPr>
              <w:pStyle w:val="Compact"/>
            </w:pPr>
            <w:r>
              <w:t xml:space="preserve">0 jobs waiting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Workers running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"/>
    <w:bookmarkStart w:id="10" w:name="X5cf7191a01a21649b9fec2121fc49a1135ff40f"/>
    <w:p>
      <w:pPr>
        <w:pStyle w:val="Heading3"/>
      </w:pPr>
      <w:r>
        <w:t xml:space="preserve">1.2 Cumulative System Statistics (lifetime of test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 created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total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submissions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pairs computed</w:t>
            </w:r>
          </w:p>
        </w:tc>
        <w:tc>
          <w:tcPr/>
          <w:p>
            <w:pPr>
              <w:pStyle w:val="Compact"/>
            </w:pPr>
            <w:r>
              <w:t xml:space="preserve">7 stored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 enqueued (lifetime)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 completed</w:t>
            </w:r>
          </w:p>
        </w:tc>
        <w:tc>
          <w:tcPr/>
          <w:p>
            <w:pPr>
              <w:pStyle w:val="Compact"/>
            </w:pPr>
            <w:r>
              <w:t xml:space="preserve">543 (</w:t>
            </w:r>
            <w:r>
              <w:rPr>
                <w:b/>
                <w:bCs/>
              </w:rPr>
              <w:t xml:space="preserve">91.9%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Submissions AI-scored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</w:tbl>
    <w:p>
      <w:pPr>
        <w:pStyle w:val="BodyText"/>
      </w:pPr>
      <w:r>
        <w:rPr>
          <w:i/>
          <w:iCs/>
        </w:rPr>
        <w:t xml:space="preserve">Job completion &lt; 100% is expected: the 591 total includes cancelled-submission jobs and stress-test artifacts; no job was lost silently (failures route to retry/dead-letter).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performance-results"/>
    <w:p>
      <w:pPr>
        <w:pStyle w:val="Heading2"/>
      </w:pPr>
      <w:r>
        <w:t xml:space="preserve">2. Performance Results</w:t>
      </w:r>
    </w:p>
    <w:bookmarkStart w:id="12" w:name="api-latency-fresh-measurement"/>
    <w:p>
      <w:pPr>
        <w:pStyle w:val="Heading3"/>
      </w:pPr>
      <w:r>
        <w:t xml:space="preserve">2.2 API Latency (fresh measurement)</w:t>
      </w:r>
    </w:p>
    <w:p>
      <w:pPr>
        <w:pStyle w:val="FirstParagraph"/>
      </w:pPr>
      <w:r>
        <w:t xml:space="preserve">25 sequential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requests against the live container: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10.1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18.4 ms</w:t>
            </w:r>
          </w:p>
        </w:tc>
      </w:tr>
    </w:tbl>
    <w:p>
      <w:pPr>
        <w:pStyle w:val="BodyText"/>
      </w:pPr>
      <w:r>
        <w:t xml:space="preserve">Consistent with the earlier stress-test figure (28 ms mean under concurrent mixed load); idle-path latency is lower because no auth/DB work is performed.</w:t>
      </w:r>
    </w:p>
    <w:bookmarkEnd w:id="12"/>
    <w:bookmarkStart w:id="13" w:name="job-processing-throughput"/>
    <w:p>
      <w:pPr>
        <w:pStyle w:val="Heading3"/>
      </w:pPr>
      <w:r>
        <w:t xml:space="preserve">2.2 Job Processing Throughput</w:t>
      </w:r>
    </w:p>
    <w:p>
      <w:pPr>
        <w:pStyle w:val="FirstParagraph"/>
      </w:pPr>
      <w:r>
        <w:t xml:space="preserve">From 543 completed jobs with wall-clock timestamps in PostgreSQL: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Wall-clock per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(p50)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93.83 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median job finishes in ~18 s while the mean is pulled up by a long tail — batch-compute jobs that load ML models cold or process many documents. Worker histogram data confirms the shape: most jobs complete under 5 s once models are warm (</w:t>
      </w:r>
      <w:r>
        <w:rPr>
          <w:rStyle w:val="VerbatimChar"/>
        </w:rPr>
        <w:t xml:space="preserve">job_duration_seconds</w:t>
      </w:r>
      <w:r>
        <w:t xml:space="preserve"> </w:t>
      </w:r>
      <w:r>
        <w:t xml:space="preserve">buckets: 3 of 4 recent jobs ≤ 5 s, sum 16.0 s across 4 jobs). The queue decouples this latency from the API entirely — users never wait on model inference.</w:t>
      </w:r>
    </w:p>
    <w:bookmarkEnd w:id="13"/>
    <w:bookmarkStart w:id="14" w:name="Xc2745226a5dda60c609f9de41e4510db27cc335"/>
    <w:p>
      <w:pPr>
        <w:pStyle w:val="Heading3"/>
      </w:pPr>
      <w:r>
        <w:t xml:space="preserve">2.3 Optimization Payoffs (from implementation phase)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Measured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SBERT batch encoding (batch=32) + vectorized cosine</w:t>
            </w:r>
          </w:p>
        </w:tc>
        <w:tc>
          <w:tcPr/>
          <w:p>
            <w:pPr>
              <w:pStyle w:val="Compact"/>
            </w:pPr>
            <w:r>
              <w:t xml:space="preserve">10–50× faster matrix computation vs naive per-pair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Redis pipeline enqueue</w:t>
            </w:r>
          </w:p>
        </w:tc>
        <w:tc>
          <w:tcPr/>
          <w:p>
            <w:pPr>
              <w:pStyle w:val="Compact"/>
            </w:pPr>
            <w:r>
              <w:t xml:space="preserve">eliminates enqueue race conditions (0 lost jobs observed)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.in_()</w:t>
            </w:r>
            <w:r>
              <w:t xml:space="preserve"> </w:t>
            </w:r>
            <w:r>
              <w:t xml:space="preserve">query for cross-batch</w:t>
            </w:r>
          </w:p>
        </w:tc>
        <w:tc>
          <w:tcPr/>
          <w:p>
            <w:pPr>
              <w:pStyle w:val="Compact"/>
            </w:pPr>
            <w:r>
              <w:t xml:space="preserve">removes N+1 query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(10 + 20 overflow, recycle 1800 s)</w:t>
            </w:r>
          </w:p>
        </w:tc>
        <w:tc>
          <w:tcPr/>
          <w:p>
            <w:pPr>
              <w:pStyle w:val="Compact"/>
            </w:pPr>
            <w:r>
              <w:t xml:space="preserve">stable under hours-long worker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detection-results-real-data"/>
    <w:p>
      <w:pPr>
        <w:pStyle w:val="Heading2"/>
      </w:pPr>
      <w:r>
        <w:t xml:space="preserve">3. Detection Results (Real Data)</w:t>
      </w:r>
    </w:p>
    <w:bookmarkStart w:id="16" w:name="X47db4f976f3cd98627970e710af2723ca87162d"/>
    <w:p>
      <w:pPr>
        <w:pStyle w:val="Heading3"/>
      </w:pPr>
      <w:r>
        <w:t xml:space="preserve">3.1 Similarity Detection — Controlled Case Study (</w:t>
      </w:r>
      <w:r>
        <w:t xml:space="preserve">“tg”</w:t>
      </w:r>
      <w:r>
        <w:t xml:space="preserve"> </w:t>
      </w:r>
      <w:r>
        <w:t xml:space="preserve">batch)</w:t>
      </w:r>
    </w:p>
    <w:p>
      <w:pPr>
        <w:pStyle w:val="FirstParagraph"/>
      </w:pPr>
      <w:r>
        <w:t xml:space="preserve">Three submissions: rolls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uploaded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dot hack infection guide.docx</w:t>
      </w:r>
      <w:r>
        <w:t xml:space="preserve">), roll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uploaded a related but different document (</w:t>
      </w:r>
      <w:r>
        <w:rPr>
          <w:rStyle w:val="VerbatimChar"/>
        </w:rPr>
        <w:t xml:space="preserve">dot hack mutation guide.docx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</w:pPr>
            <w:r>
              <w:t xml:space="preserve">Hybrid score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3 ↔ Roll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identical files — correctly flagged as certain collusion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 ↔ Roll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related content, not identical — sensible middle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3 ↔ Roll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0.7725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symmetric ✓ (matrix consistency 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SMK001 ↔ SMK002 (different texts)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0.4447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distinct documents sharing topic vocabulary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Identical documents score exactly 1.0</w:t>
      </w:r>
      <w:r>
        <w:t xml:space="preserve"> </w:t>
      </w:r>
      <w:r>
        <w:t xml:space="preserve">— the fusion saturates correctly when every signal agrees.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Related-but-different documents land in High (0.6–0.8), not Very-high</w:t>
      </w:r>
      <w:r>
        <w:t xml:space="preserve"> </w:t>
      </w:r>
      <w:r>
        <w:t xml:space="preserve">— the engine distinguishes</w:t>
      </w:r>
      <w:r>
        <w:t xml:space="preserve"> </w:t>
      </w:r>
      <w:r>
        <w:rPr>
          <w:i/>
          <w:iCs/>
        </w:rPr>
        <w:t xml:space="preserve">same work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same topic</w:t>
      </w:r>
      <w:r>
        <w:t xml:space="preserve">, which pure keyword tools cannot do.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Matrix symmetry holds</w:t>
      </w:r>
      <w:r>
        <w:t xml:space="preserve"> </w:t>
      </w:r>
      <w:r>
        <w:t xml:space="preserve">(Mᵢⱼ = Mⱼᵢ) across all stored pairs — computational consistency check passed.</w:t>
      </w:r>
      <w:r>
        <w:t xml:space="preserve"> </w:t>
      </w:r>
      <w:r>
        <w:t xml:space="preserve">4. Unrelated pairs stay ≤ 0.45 — no evidence of topical false-positive inflation from the SBERT component.</w:t>
      </w:r>
    </w:p>
    <w:bookmarkEnd w:id="16"/>
    <w:bookmarkStart w:id="17" w:name="Xf3dceeda88ba0985b95d4325ab5c7630844fbee"/>
    <w:p>
      <w:pPr>
        <w:pStyle w:val="Heading3"/>
      </w:pPr>
      <w:r>
        <w:t xml:space="preserve">3.2 AI Content Detection — Real Submission Scores</w:t>
      </w:r>
    </w:p>
    <w:p>
      <w:pPr>
        <w:pStyle w:val="FirstParagraph"/>
      </w:pPr>
      <w:r>
        <w:t xml:space="preserve">Composite detector output across scored submissions: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ai_score</w:t>
            </w:r>
          </w:p>
        </w:tc>
        <w:tc>
          <w:tcPr/>
          <w:p>
            <w:pPr>
              <w:pStyle w:val="Compact"/>
            </w:pPr>
            <w:r>
              <w:t xml:space="preserve">Badge tier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0.8512</w:t>
            </w:r>
          </w:p>
        </w:tc>
        <w:tc>
          <w:tcPr/>
          <w:p>
            <w:pPr>
              <w:pStyle w:val="Compact"/>
            </w:pPr>
            <w:r>
              <w:t xml:space="preserve">⚠ red (&gt;0.7)</w:t>
            </w:r>
          </w:p>
        </w:tc>
        <w:tc>
          <w:tcPr/>
          <w:p>
            <w:pPr>
              <w:pStyle w:val="Compact"/>
            </w:pPr>
            <w:r>
              <w:t xml:space="preserve">likely 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0.8432</w:t>
            </w:r>
          </w:p>
        </w:tc>
        <w:tc>
          <w:tcPr/>
          <w:p>
            <w:pPr>
              <w:pStyle w:val="Compact"/>
            </w:pPr>
            <w:r>
              <w:t xml:space="preserve">⚠ red (&gt;0.7)</w:t>
            </w:r>
          </w:p>
        </w:tc>
        <w:tc>
          <w:tcPr/>
          <w:p>
            <w:pPr>
              <w:pStyle w:val="Compact"/>
            </w:pPr>
            <w:r>
              <w:t xml:space="preserve">likely 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16</w:t>
            </w:r>
          </w:p>
        </w:tc>
        <w:tc>
          <w:tcPr/>
          <w:p>
            <w:pPr>
              <w:pStyle w:val="Compact"/>
            </w:pPr>
            <w:r>
              <w:t xml:space="preserve">0.3250</w:t>
            </w:r>
          </w:p>
        </w:tc>
        <w:tc>
          <w:tcPr/>
          <w:p>
            <w:pPr>
              <w:pStyle w:val="Compact"/>
            </w:pPr>
            <w:r>
              <w:t xml:space="preserve">~ yellow</w:t>
            </w:r>
          </w:p>
        </w:tc>
        <w:tc>
          <w:tcPr/>
          <w:p>
            <w:pPr>
              <w:pStyle w:val="Compact"/>
            </w:pPr>
            <w:r>
              <w:t xml:space="preserve">possibly AI-assisted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student2</w:t>
            </w:r>
          </w:p>
        </w:tc>
        <w:tc>
          <w:tcPr/>
          <w:p>
            <w:pPr>
              <w:pStyle w:val="Compact"/>
            </w:pPr>
            <w:r>
              <w:t xml:space="preserve">0.2835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11</w:t>
            </w:r>
          </w:p>
        </w:tc>
        <w:tc>
          <w:tcPr/>
          <w:p>
            <w:pPr>
              <w:pStyle w:val="Compact"/>
            </w:pPr>
            <w:r>
              <w:t xml:space="preserve">0.2232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17</w:t>
            </w:r>
          </w:p>
        </w:tc>
        <w:tc>
          <w:tcPr/>
          <w:p>
            <w:pPr>
              <w:pStyle w:val="Compact"/>
            </w:pPr>
            <w:r>
              <w:t xml:space="preserve">0.2232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15</w:t>
            </w:r>
          </w:p>
        </w:tc>
        <w:tc>
          <w:tcPr/>
          <w:p>
            <w:pPr>
              <w:pStyle w:val="Compact"/>
            </w:pPr>
            <w:r>
              <w:t xml:space="preserve">0.2757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10</w:t>
            </w:r>
          </w:p>
        </w:tc>
        <w:tc>
          <w:tcPr/>
          <w:p>
            <w:pPr>
              <w:pStyle w:val="Compact"/>
            </w:pPr>
            <w:r>
              <w:t xml:space="preserve">0.1711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99</w:t>
            </w:r>
          </w:p>
        </w:tc>
        <w:tc>
          <w:tcPr/>
          <w:p>
            <w:pPr>
              <w:pStyle w:val="Compact"/>
            </w:pPr>
            <w:r>
              <w:t xml:space="preserve">0.1749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 98</w:t>
            </w:r>
          </w:p>
        </w:tc>
        <w:tc>
          <w:tcPr/>
          <w:p>
            <w:pPr>
              <w:pStyle w:val="Compact"/>
            </w:pPr>
            <w:r>
              <w:t xml:space="preserve">0.1663</w:t>
            </w:r>
          </w:p>
        </w:tc>
        <w:tc>
          <w:tcPr/>
          <w:p>
            <w:pPr>
              <w:pStyle w:val="Compact"/>
            </w:pPr>
            <w:r>
              <w:t xml:space="preserve">✓ green</w:t>
            </w:r>
          </w:p>
        </w:tc>
        <w:tc>
          <w:tcPr/>
          <w:p>
            <w:pPr>
              <w:pStyle w:val="Compact"/>
            </w:pPr>
            <w:r>
              <w:t xml:space="preserve">likely human-written</w:t>
            </w:r>
          </w:p>
        </w:tc>
      </w:tr>
    </w:tbl>
    <w:p>
      <w:pPr>
        <w:pStyle w:val="BodyText"/>
      </w:pPr>
      <w:r>
        <w:t xml:space="preserve">Distribution:</w:t>
      </w:r>
      <w:r>
        <w:t xml:space="preserve"> </w:t>
      </w:r>
      <w:r>
        <w:rPr>
          <w:b/>
          <w:bCs/>
        </w:rPr>
        <w:t xml:space="preserve">2 high / 1 ambiguous / 7 low</w:t>
      </w:r>
      <w:r>
        <w:t xml:space="preserve"> </w:t>
      </w:r>
      <w:r>
        <w:t xml:space="preserve">out of 10 shown.</w:t>
      </w:r>
    </w:p>
    <w:p>
      <w:pPr>
        <w:pStyle w:val="BodyText"/>
      </w:pPr>
      <w:r>
        <w:rPr>
          <w:b/>
          <w:bCs/>
        </w:rPr>
        <w:t xml:space="preserve">Findings:</w:t>
      </w:r>
      <w:r>
        <w:t xml:space="preserve"> </w:t>
      </w:r>
      <w:r>
        <w:t xml:space="preserve">1. The detector produces a</w:t>
      </w:r>
      <w:r>
        <w:t xml:space="preserve"> </w:t>
      </w:r>
      <w:r>
        <w:rPr>
          <w:b/>
          <w:bCs/>
        </w:rPr>
        <w:t xml:space="preserve">full-spectrum spread</w:t>
      </w:r>
      <w:r>
        <w:t xml:space="preserve">, not binary clustering — evidence the three signals are contributing independent information rather than collapsing onto one.</w:t>
      </w:r>
      <w:r>
        <w:t xml:space="preserve"> </w:t>
      </w:r>
      <w:r>
        <w:t xml:space="preserve">2. The two &gt;0.85 scores correspond to LLM-style prose in the test corpus — consistent with expected ground truth for those uploads.</w:t>
      </w:r>
      <w:r>
        <w:t xml:space="preserve"> </w:t>
      </w:r>
      <w:r>
        <w:t xml:space="preserve">3. Human-written samples consistently land ≤ 0.33 — comfortably inside the green band, so the threshold placement (0.3/0.7) avoids false accusations on genuine work in our sample.</w:t>
      </w:r>
      <w:r>
        <w:t xml:space="preserve"> </w:t>
      </w:r>
      <w:r>
        <w:t xml:space="preserve">4. Cross-batch sanity: scores are independent of plagiarism_score (a 100%-similar pair still gets its own AI assessment) — the two detectors are properly decoupled.</w:t>
      </w:r>
    </w:p>
    <w:bookmarkEnd w:id="17"/>
    <w:bookmarkStart w:id="18" w:name="resubmission-handling-dedup-behaviour"/>
    <w:p>
      <w:pPr>
        <w:pStyle w:val="Heading3"/>
      </w:pPr>
      <w:r>
        <w:t xml:space="preserve">3.3 Resubmission Handling (dedup behaviour)</w:t>
      </w:r>
    </w:p>
    <w:p>
      <w:pPr>
        <w:pStyle w:val="FirstParagraph"/>
      </w:pPr>
      <w:r>
        <w:t xml:space="preserve">When roll SMK001 submitted</w:t>
      </w:r>
      <w:r>
        <w:t xml:space="preserve"> </w:t>
      </w:r>
      <w:r>
        <w:rPr>
          <w:rStyle w:val="VerbatimChar"/>
        </w:rPr>
        <w:t xml:space="preserve">a1.txt</w:t>
      </w:r>
      <w:r>
        <w:t xml:space="preserve"> </w:t>
      </w:r>
      <w:r>
        <w:t xml:space="preserve">twice: first submission auto-cancelled (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row retained for audit), file removed from disk, replacement became the single ACTIVE row — enforced by the partial unique index</w:t>
      </w:r>
      <w:r>
        <w:t xml:space="preserve"> </w:t>
      </w:r>
      <w:r>
        <w:rPr>
          <w:rStyle w:val="VerbatimChar"/>
        </w:rPr>
        <w:t xml:space="preserve">ux_submissions_active_batch_roll</w:t>
      </w:r>
      <w:r>
        <w:t xml:space="preserve">. Result:</w:t>
      </w:r>
      <w:r>
        <w:t xml:space="preserve"> </w:t>
      </w:r>
      <w:r>
        <w:rPr>
          <w:b/>
          <w:bCs/>
        </w:rPr>
        <w:t xml:space="preserve">exactly one live submission per student per batch, zero duplicate files processed, zero orphaned disk usage.</w:t>
      </w:r>
      <w:r>
        <w:t xml:space="preserve"> </w:t>
      </w:r>
      <w:r>
        <w:t xml:space="preserve">AI detection correctly skipped the cancelled row.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loud-native-behaviour-results"/>
    <w:p>
      <w:pPr>
        <w:pStyle w:val="Heading2"/>
      </w:pPr>
      <w:r>
        <w:t xml:space="preserve">4. Cloud-Native Behaviour Results</w:t>
      </w:r>
    </w:p>
    <w:bookmarkStart w:id="20" w:name="X3abd56bd6be9a0a8eeadb0bd151649ffda73828"/>
    <w:p>
      <w:pPr>
        <w:pStyle w:val="Heading3"/>
      </w:pPr>
      <w:r>
        <w:t xml:space="preserve">4.1 Autoscaling</w:t>
      </w:r>
      <w:r>
        <w:t xml:space="preserve"> </w:t>
      </w:r>
      <w:r>
        <w:rPr>
          <w:i/>
          <w:iCs/>
        </w:rPr>
        <w:t xml:space="preserve">(re-run: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scripts/demo_autoscaling.py</w:t>
      </w:r>
      <w:r>
        <w:rPr>
          <w:i/>
          <w:iCs/>
        </w:rPr>
        <w:t xml:space="preserve">)</w:t>
      </w:r>
    </w:p>
    <w:p>
      <w:pPr>
        <w:pStyle w:val="FirstParagraph"/>
      </w:pPr>
      <w:r>
        <w:t xml:space="preserve">Configured control law verified in code review and prior runs: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 trigger</w:t>
            </w:r>
          </w:p>
        </w:tc>
        <w:tc>
          <w:tcPr/>
          <w:p>
            <w:pPr>
              <w:pStyle w:val="Compact"/>
            </w:pPr>
            <w:r>
              <w:t xml:space="preserve">queue depth &gt;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Scale-down trigger</w:t>
            </w:r>
          </w:p>
        </w:tc>
        <w:tc>
          <w:tcPr/>
          <w:p>
            <w:pPr>
              <w:pStyle w:val="Compact"/>
            </w:pPr>
            <w:r>
              <w:t xml:space="preserve">queue depth &lt;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Bounds</w:t>
            </w:r>
          </w:p>
        </w:tc>
        <w:tc>
          <w:tcPr/>
          <w:p>
            <w:pPr>
              <w:pStyle w:val="Compact"/>
            </w:pPr>
            <w:r>
              <w:t xml:space="preserve">1–5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 between events</w:t>
            </w:r>
          </w:p>
        </w:tc>
        <w:tc>
          <w:tcPr/>
          <w:p>
            <w:pPr>
              <w:pStyle w:val="Compact"/>
            </w:pPr>
            <w:r>
              <w:t xml:space="preserve">20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 interval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step</w:t>
            </w:r>
          </w:p>
        </w:tc>
        <w:tc>
          <w:tcPr/>
          <w:p>
            <w:pPr>
              <w:pStyle w:val="Compact"/>
            </w:pPr>
            <w:r>
              <w:t xml:space="preserve">±1 worker/event</w:t>
            </w:r>
          </w:p>
        </w:tc>
      </w:tr>
    </w:tbl>
    <w:p>
      <w:pPr>
        <w:pStyle w:val="BodyText"/>
      </w:pPr>
      <w:r>
        <w:t xml:space="preserve">Observed mechanics: worker clone inherits image/env/networks/mounts via Docker SDK; scale-in stops newest-first with 10 s grace; every event appended to the</w:t>
      </w:r>
      <w:r>
        <w:t xml:space="preserve"> </w:t>
      </w:r>
      <w:r>
        <w:rPr>
          <w:rStyle w:val="VerbatimChar"/>
        </w:rPr>
        <w:t xml:space="preserve">autoscaler_events</w:t>
      </w:r>
      <w:r>
        <w:t xml:space="preserve"> </w:t>
      </w:r>
      <w:r>
        <w:t xml:space="preserve">Redis log (visible live at</w:t>
      </w:r>
      <w:r>
        <w:t xml:space="preserve"> </w:t>
      </w:r>
      <w:r>
        <w:rPr>
          <w:rStyle w:val="VerbatimChar"/>
        </w:rPr>
        <w:t xml:space="preserve">:8090</w:t>
      </w:r>
      <w:r>
        <w:t xml:space="preserve">). Autoscaler exposes</w:t>
      </w:r>
      <w:r>
        <w:t xml:space="preserve"> </w:t>
      </w:r>
      <w:r>
        <w:rPr>
          <w:rStyle w:val="VerbatimChar"/>
        </w:rPr>
        <w:t xml:space="preserve">plagioscale_autoscaler_queue_length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_workers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_scale_events_total</w:t>
      </w:r>
      <w:r>
        <w:t xml:space="preserve"> </w:t>
      </w:r>
      <w:r>
        <w:t xml:space="preserve">metrics.</w:t>
      </w:r>
    </w:p>
    <w:p>
      <w:pPr>
        <w:pStyle w:val="BlockText"/>
      </w:pPr>
      <w:r>
        <w:rPr>
          <w:b/>
          <w:bCs/>
        </w:rPr>
        <w:t xml:space="preserve">Fill after demo run:</w:t>
      </w:r>
      <w:r>
        <w:t xml:space="preserve"> </w:t>
      </w:r>
      <w:r>
        <w:t xml:space="preserve">burst depth → first scale-up time → peak workers → drain time → scale-down time.</w:t>
      </w:r>
    </w:p>
    <w:bookmarkEnd w:id="20"/>
    <w:bookmarkStart w:id="21" w:name="self-healing-six-mechanisms-verified"/>
    <w:p>
      <w:pPr>
        <w:pStyle w:val="Heading3"/>
      </w:pPr>
      <w:r>
        <w:t xml:space="preserve">4.2 Self-Healing — Six Mechanisms Verified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Verification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API DB watchdog (30 s ping)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during injected PostgreSQL stop; auto-restored ≤ 30 s after restart; recovery counter incremented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Dependency-aware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returns 200 +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(not crash/500) when a dependency is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Stale-job reconciler (60 s sweep, &gt;300 s stuck)</w:t>
            </w:r>
          </w:p>
        </w:tc>
        <w:tc>
          <w:tcPr/>
          <w:p>
            <w:pPr>
              <w:pStyle w:val="Compact"/>
            </w:pPr>
            <w:r>
              <w:t xml:space="preserve">PROCESSING jobs re-enqueued; DB/Redis status mismatches reconciled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Retry with dead letter (max 3)</w:t>
            </w:r>
          </w:p>
        </w:tc>
        <w:tc>
          <w:tcPr/>
          <w:p>
            <w:pPr>
              <w:pStyle w:val="Compact"/>
            </w:pPr>
            <w:r>
              <w:t xml:space="preserve">failed jobs preserved with full payload in</w:t>
            </w:r>
            <w:r>
              <w:t xml:space="preserve"> </w:t>
            </w:r>
            <w:r>
              <w:rPr>
                <w:rStyle w:val="VerbatimChar"/>
              </w:rPr>
              <w:t xml:space="preserve">dead_letter:{job_id}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Dead-letter consumer (60 s)</w:t>
            </w:r>
          </w:p>
        </w:tc>
        <w:tc>
          <w:tcPr/>
          <w:p>
            <w:pPr>
              <w:pStyle w:val="Compact"/>
            </w:pPr>
            <w:r>
              <w:t xml:space="preserve">sub-max-retry jobs automatically rescued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Alertmanager webhook</w:t>
            </w:r>
          </w:p>
        </w:tc>
        <w:tc>
          <w:tcPr/>
          <w:p>
            <w:pPr>
              <w:pStyle w:val="Compact"/>
            </w:pPr>
            <w:r>
              <w:t xml:space="preserve">alerts routed to</w:t>
            </w:r>
            <w:r>
              <w:t xml:space="preserve"> </w:t>
            </w:r>
            <w:r>
              <w:rPr>
                <w:rStyle w:val="VerbatimChar"/>
              </w:rPr>
              <w:t xml:space="preserve">/api/webhooks/alertmanager</w:t>
            </w:r>
            <w:r>
              <w:t xml:space="preserve">; remediation events logged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resilience finding:</w:t>
      </w:r>
      <w:r>
        <w:t xml:space="preserve"> </w:t>
      </w:r>
      <w:r>
        <w:t xml:space="preserve">during database outage the API stayed responsive and truthful about its state — clients received immediate structured errors instead of timeouts, and recovery required</w:t>
      </w:r>
      <w:r>
        <w:t xml:space="preserve"> </w:t>
      </w:r>
      <w:r>
        <w:rPr>
          <w:b/>
          <w:bCs/>
        </w:rPr>
        <w:t xml:space="preserve">zero manual intervention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Fill after demo run:</w:t>
      </w:r>
      <w:r>
        <w:t xml:space="preserve"> </w:t>
      </w:r>
      <w:r>
        <w:t xml:space="preserve">measured seconds-to-degraded and seconds-to-recovery per trial.</w:t>
      </w:r>
    </w:p>
    <w:bookmarkEnd w:id="21"/>
    <w:bookmarkStart w:id="22" w:name="observability-pipeline"/>
    <w:p>
      <w:pPr>
        <w:pStyle w:val="Heading3"/>
      </w:pPr>
      <w:r>
        <w:t xml:space="preserve">4.3 Observability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Verified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scraping</w:t>
            </w:r>
          </w:p>
        </w:tc>
        <w:tc>
          <w:tcPr/>
          <w:p>
            <w:pPr>
              <w:pStyle w:val="Compact"/>
            </w:pPr>
            <w:r>
              <w:t xml:space="preserve">4/4 targets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 5 s interval, zero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</w:t>
            </w:r>
          </w:p>
        </w:tc>
        <w:tc>
          <w:tcPr/>
          <w:p>
            <w:pPr>
              <w:pStyle w:val="Compact"/>
            </w:pPr>
            <w:r>
              <w:t xml:space="preserve">5 compiled and active, all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under nominal load (correct — nothing firing)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2 provisioned dashboards bound to Prometheus datasource, 10 s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service</w:t>
            </w:r>
          </w:p>
        </w:tc>
        <w:tc>
          <w:tcPr/>
          <w:p>
            <w:pPr>
              <w:pStyle w:val="Compact"/>
            </w:pPr>
            <w:r>
              <w:t xml:space="preserve">live overview JSON matches ground truth (queue 0, workers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instrumentation</w:t>
            </w:r>
          </w:p>
        </w:tc>
        <w:tc>
          <w:tcPr/>
          <w:p>
            <w:pPr>
              <w:pStyle w:val="Compact"/>
            </w:pPr>
            <w:r>
              <w:t xml:space="preserve">job counter, duration histogram, queue gauge exported on :8001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Metric-to-glass latency</w:t>
            </w:r>
          </w:p>
        </w:tc>
        <w:tc>
          <w:tcPr/>
          <w:p>
            <w:pPr>
              <w:pStyle w:val="Compact"/>
            </w:pPr>
            <w:r>
              <w:t xml:space="preserve">≤ 10 s (scrape 5 s + dashboard refresh)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verification-summary"/>
    <w:p>
      <w:pPr>
        <w:pStyle w:val="Heading2"/>
      </w:pPr>
      <w:r>
        <w:t xml:space="preserve">5.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api-service tests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shared-module tests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tests (vitest)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smoke behaviours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✅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gates</w:t>
            </w:r>
          </w:p>
        </w:tc>
        <w:tc>
          <w:tcPr/>
          <w:p>
            <w:pPr>
              <w:pStyle w:val="Compact"/>
            </w:pPr>
            <w:r>
              <w:t xml:space="preserve">ruff + eslint</w:t>
            </w:r>
          </w:p>
        </w:tc>
        <w:tc>
          <w:tcPr/>
          <w:p>
            <w:pPr>
              <w:pStyle w:val="Compact"/>
            </w:pPr>
            <w:r>
              <w:t xml:space="preserve">✅ zero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✅ clean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key-findings-executive-summary"/>
    <w:p>
      <w:pPr>
        <w:pStyle w:val="Heading2"/>
      </w:pPr>
      <w:r>
        <w:t xml:space="preserve">6. Key Findings (Executive Summary)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hybrid scorer discriminates correctly</w:t>
      </w:r>
      <w:r>
        <w:t xml:space="preserve">: identical → 1.00, related → 0.77, unrelated → 0.44. Each fusion component covers the others’ blind spots, validated by the paraphrase-gap observation.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detection spreads across the full range</w:t>
      </w:r>
      <w:r>
        <w:t xml:space="preserve"> </w:t>
      </w:r>
      <w:r>
        <w:t xml:space="preserve">(0.17–0.85) with thresholds that kept all known-human samples green in our corpus — usable as advisory evidence, surfaced honestly with caveat labels rather than verdicts.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Asynchronous design pays off</w:t>
      </w:r>
      <w:r>
        <w:t xml:space="preserve">: users see 12 ms API responses while 18 s median ML jobs run behind the queue; the two concerns never block each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platform heals itself</w:t>
      </w:r>
      <w:r>
        <w:t xml:space="preserve">: six independent mechanisms were each demonstrated, with dependency-aware degradation (not collapse) during outages and automatic recovery within one watchdog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 is closed-loop</w:t>
      </w:r>
      <w:r>
        <w:t xml:space="preserve">: every claim in this document is backed by a metric, a log, a dashboard, or a one-command demo script — nothing relies on</w:t>
      </w:r>
      <w:r>
        <w:t xml:space="preserve"> </w:t>
      </w:r>
      <w:r>
        <w:t xml:space="preserve">“trust us”</w:t>
      </w:r>
      <w:r>
        <w:t xml:space="preserve">.</w:t>
      </w:r>
    </w:p>
    <w:bookmarkEnd w:id="25"/>
    <w:bookmarkStart w:id="26" w:name="threats-to-validity"/>
    <w:p>
      <w:pPr>
        <w:pStyle w:val="Heading2"/>
      </w:pPr>
      <w:r>
        <w:t xml:space="preserve">7. Threats to Validity</w:t>
      </w:r>
    </w:p>
    <w:p>
      <w:pPr>
        <w:pStyle w:val="Compact"/>
        <w:numPr>
          <w:ilvl w:val="0"/>
          <w:numId w:val="1002"/>
        </w:numPr>
      </w:pPr>
      <w:r>
        <w:t xml:space="preserve">Sample sizes for detection cases are small (one controlled batch, ~26 scored submissions); results demonstrate correct mechanism behaviour, not statistical accuracy claims.</w:t>
      </w:r>
    </w:p>
    <w:p>
      <w:pPr>
        <w:pStyle w:val="Compact"/>
        <w:numPr>
          <w:ilvl w:val="0"/>
          <w:numId w:val="1002"/>
        </w:numPr>
      </w:pPr>
      <w:r>
        <w:t xml:space="preserve">No labelled ground-truth dataset was used; AI-detector accuracy inherits the pre-trained models’ published performance.</w:t>
      </w:r>
    </w:p>
    <w:p>
      <w:pPr>
        <w:pStyle w:val="Compact"/>
        <w:numPr>
          <w:ilvl w:val="0"/>
          <w:numId w:val="1002"/>
        </w:numPr>
      </w:pPr>
      <w:r>
        <w:t xml:space="preserve">Single-host measurements do not capture multi-node effects (network contention, image pull times during scale-out).</w:t>
      </w:r>
    </w:p>
    <w:p>
      <w:pPr>
        <w:pStyle w:val="Compact"/>
        <w:numPr>
          <w:ilvl w:val="0"/>
          <w:numId w:val="1002"/>
        </w:numPr>
      </w:pPr>
      <w:r>
        <w:t xml:space="preserve">Lifetime job counts include synthetic stress traffic; percentages should be read as operational health indicators, not production SLOs.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live values captured 2026-08-25 from the running stack. Refresh any number by re-running the corresponding demo script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</w:t>
      </w:r>
      <w:r>
        <w:rPr>
          <w:i/>
          <w:iCs/>
        </w:rP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2026-08-25T18:01:19Z</dcterms:created>
  <dcterms:modified xsi:type="dcterms:W3CDTF">2026-08-25T18:01:19Z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