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43264"/>
          <w:sz w:val="32"/>
        </w:rPr>
        <w:t>Democratizing Sustainable Innovation: Integrating AutoML and</w:t>
        <w:br/>
        <w:t>AI-Driven Learning Ecosystems to Bridge STEM in Applied and Vocational Education</w:t>
      </w:r>
    </w:p>
    <w:p/>
    <w:p>
      <w:pPr>
        <w:spacing w:after="40"/>
        <w:jc w:val="center"/>
      </w:pPr>
      <w:r>
        <w:rPr>
          <w:rFonts w:ascii="Arial" w:hAnsi="Arial"/>
          <w:b/>
          <w:i w:val="0"/>
          <w:sz w:val="24"/>
        </w:rPr>
        <w:t>Dr. Tertsegha Joseph Anande, PhD, FHEA</w:t>
      </w:r>
    </w:p>
    <w:p>
      <w:pPr>
        <w:spacing w:after="40"/>
        <w:jc w:val="center"/>
      </w:pPr>
      <w:r>
        <w:rPr>
          <w:rFonts w:ascii="Arial" w:hAnsi="Arial"/>
          <w:b w:val="0"/>
          <w:i w:val="0"/>
          <w:sz w:val="22"/>
        </w:rPr>
        <w:t>QAHE–Ulster University, Birmingham, United Kingdom</w:t>
      </w:r>
    </w:p>
    <w:p>
      <w:pPr>
        <w:spacing w:after="40"/>
        <w:jc w:val="center"/>
      </w:pPr>
      <w:r>
        <w:rPr>
          <w:rFonts w:ascii="Arial" w:hAnsi="Arial"/>
          <w:b w:val="0"/>
          <w:i w:val="0"/>
          <w:sz w:val="22"/>
        </w:rPr>
        <w:t>Tertsegha.Anande@qa.com | www.drtertseghaanande.com</w:t>
      </w:r>
    </w:p>
    <w:p>
      <w:pPr>
        <w:spacing w:after="40"/>
        <w:jc w:val="center"/>
      </w:pPr>
      <w:r>
        <w:rPr>
          <w:rFonts w:ascii="Arial" w:hAnsi="Arial"/>
          <w:b w:val="0"/>
          <w:i/>
          <w:sz w:val="22"/>
        </w:rPr>
        <w:t>Invited Keynote — ICRIEMS 2026</w:t>
      </w:r>
    </w:p>
    <w:p>
      <w:pPr>
        <w:spacing w:after="40" w:before="40"/>
        <w:pBdr>
          <w:bottom w:val="single" w:sz="4" w:space="1" w:color="AAAAAA"/>
        </w:pBdr>
      </w:pPr>
    </w:p>
    <w:p/>
    <w:p>
      <w:pPr>
        <w:jc w:val="left"/>
      </w:pPr>
      <w:r>
        <w:rPr>
          <w:rFonts w:ascii="Arial" w:hAnsi="Arial"/>
          <w:b/>
          <w:color w:val="1E4078"/>
          <w:sz w:val="22"/>
        </w:rPr>
        <w:t>Abstract</w:t>
      </w:r>
    </w:p>
    <w:p>
      <w:pPr>
        <w:spacing w:after="120"/>
        <w:jc w:val="both"/>
      </w:pPr>
      <w:r>
        <w:rPr>
          <w:rFonts w:ascii="Times New Roman" w:hAnsi="Times New Roman"/>
          <w:sz w:val="20"/>
        </w:rPr>
        <w:t>The global drive toward sustainability calls for a reimagining of how Science, Technology, Engineering, and Mathematics (STEM) are delivered in applied and vocational education. A persistent challenge lies in bridging the gap between advanced computational innovations and accessible, industry-relevant skills. This paper examines how Automated Machine Learning (AutoML) and AI-driven learning ecosystems can serve as enablers for integrating STEM and strengthening sustainable development outcomes. A modular AutoML-based framework is introduced that transforms complex machine learning workflows into structured, scaffolded learning experiences suitable for diverse learner backgrounds. Evidence from applied teaching practice demonstrates improved learner performance, increased participation, and stronger alignment with industry expectations. The paper argues that the future of vocational STEM education lies in adopting intelligent, scalable learning infrastructures that democratize access to AI capabilities, thereby developing a workforce capable of driving inclusive, innovative, and sustainable global transformation.</w:t>
      </w:r>
    </w:p>
    <w:p>
      <w:pPr>
        <w:spacing w:after="200"/>
        <w:jc w:val="left"/>
      </w:pPr>
      <w:r>
        <w:rPr>
          <w:rFonts w:ascii="Times New Roman" w:hAnsi="Times New Roman"/>
          <w:b/>
          <w:sz w:val="20"/>
        </w:rPr>
        <w:t xml:space="preserve">Keywords: </w:t>
      </w:r>
      <w:r>
        <w:rPr>
          <w:rFonts w:ascii="Times New Roman" w:hAnsi="Times New Roman"/>
          <w:sz w:val="20"/>
        </w:rPr>
        <w:t>AutoML, STEM education, vocational education, AI-driven learning, sustainable innovation, explainable AI, digital transformation, machine learning pedagogy, responsible AI</w:t>
      </w:r>
    </w:p>
    <w:p>
      <w:pPr>
        <w:spacing w:after="40" w:before="40"/>
        <w:pBdr>
          <w:bottom w:val="single" w:sz="4" w:space="1" w:color="AAAAAA"/>
        </w:pBdr>
      </w:pPr>
    </w:p>
    <w:p/>
    <w:p>
      <w:pPr>
        <w:pStyle w:val="Heading1"/>
      </w:pPr>
      <w:r>
        <w:t>1. Introduction</w:t>
      </w:r>
    </w:p>
    <w:p>
      <w:pPr>
        <w:spacing w:after="160"/>
        <w:ind w:firstLine="360"/>
        <w:jc w:val="both"/>
      </w:pPr>
      <w:r>
        <w:rPr>
          <w:rFonts w:ascii="Times New Roman" w:hAnsi="Times New Roman"/>
          <w:sz w:val="22"/>
        </w:rPr>
        <w:t>The twenty-first century presents an unprecedented convergence of technological capability and societal urgency. Climate change, resource scarcity, digital inequality, and rapid industrial transformation demand a workforce that is not merely technically competent but capable of applying computational thinking to complex, real-world sustainability challenges. Science, Technology, Engineering, and Mathematics (STEM) education sits at the heart of this challenge—yet traditional pedagogical models, particularly within applied and vocational pathways, have struggled to keep pace with the velocity of innovation (UNESCO, 2021).</w:t>
      </w:r>
    </w:p>
    <w:p>
      <w:pPr>
        <w:spacing w:after="160"/>
        <w:ind w:firstLine="360"/>
        <w:jc w:val="both"/>
      </w:pPr>
      <w:r>
        <w:rPr>
          <w:rFonts w:ascii="Times New Roman" w:hAnsi="Times New Roman"/>
          <w:sz w:val="22"/>
        </w:rPr>
        <w:t>Artificial Intelligence (AI), and machine learning (ML) in particular, has emerged as a transformative force across virtually every domain: from optimising energy grid dispatch to detecting cybersecurity intrusions in electric vehicle charging networks (Anande &amp; Lakshminarayana, in preparation; Anande et al., 2025). However, the technical barriers to entry for these tools have historically been prohibitive for learners without strong mathematical or programming backgrounds—creating a two-tier system in which cutting-edge capabilities remain accessible only to a specialist few.</w:t>
      </w:r>
    </w:p>
    <w:p>
      <w:pPr>
        <w:spacing w:after="160"/>
        <w:ind w:firstLine="360"/>
        <w:jc w:val="both"/>
      </w:pPr>
      <w:r>
        <w:rPr>
          <w:rFonts w:ascii="Times New Roman" w:hAnsi="Times New Roman"/>
          <w:sz w:val="22"/>
        </w:rPr>
        <w:t>Automated Machine Learning (AutoML) represents a paradigm shift in this landscape. By automating the most technically demanding phases of an ML pipeline—feature engineering, hyperparameter optimisation, model selection, and deployment—AutoML systems allow educators and learners alike to engage meaningfully with data-driven problem-solving without requiring deep expertise in the underlying mathematics. When embedded within thoughtfully designed pedagogical frameworks, AutoML has the potential to democratise access to AI capabilities, enabling a far wider cohort of vocational and applied learners to develop industry-relevant competencies aligned with sustainable development goals (SDGs).</w:t>
      </w:r>
    </w:p>
    <w:p>
      <w:pPr>
        <w:spacing w:after="160"/>
        <w:ind w:firstLine="360"/>
        <w:jc w:val="both"/>
      </w:pPr>
      <w:r>
        <w:rPr>
          <w:rFonts w:ascii="Times New Roman" w:hAnsi="Times New Roman"/>
          <w:sz w:val="22"/>
        </w:rPr>
        <w:t>This keynote paper makes three original contributions. First, it introduces MoSELA AutoML—a modular, open-source AutoML framework developed by the author—and demonstrates its application as both a research tool and a pedagogical scaffold. Second, it presents the Digital Transformation (DT) Studio, an AI-powered learning ecosystem deployed within an MSc Computing programme, and evaluates its impact on learner outcomes. Third, it articulates a coherent theoretical and practical argument for why the integration of AutoML and AI-driven assessment into vocational STEM curricula is not merely beneficial but essential for realising inclusive, sustainable technological transformation.</w:t>
      </w:r>
    </w:p>
    <w:p>
      <w:pPr>
        <w:pStyle w:val="Heading1"/>
      </w:pPr>
      <w:r>
        <w:t>2. The Democratisation Imperative in STEM Education</w:t>
      </w:r>
    </w:p>
    <w:p>
      <w:pPr>
        <w:pStyle w:val="Heading2"/>
      </w:pPr>
      <w:r>
        <w:t>2.1 The Structural Gap in Vocational AI Education</w:t>
      </w:r>
    </w:p>
    <w:p>
      <w:pPr>
        <w:spacing w:after="160"/>
        <w:ind w:firstLine="360"/>
        <w:jc w:val="both"/>
      </w:pPr>
      <w:r>
        <w:rPr>
          <w:rFonts w:ascii="Times New Roman" w:hAnsi="Times New Roman"/>
          <w:sz w:val="22"/>
        </w:rPr>
        <w:t>Despite widening access to computing infrastructure and open-source tooling, a persistent structural gap remains between the theoretical sophistication of modern AI curricula and the practical readiness of vocational graduates. Several intersecting factors sustain this gap. First, conventional ML pedagogy prioritises mathematical foundations—linear algebra, probability theory, calculus—that are cognitively demanding and frequently disconnected from applied problem contexts. Second, assessment practices in many vocational programmes continue to reward recall and procedural accuracy over creative problem-solving and systems thinking. Third, the pace at which industrial tools evolve outstrips the curriculum review cycles of most higher education providers (Luckin et al., 2022).</w:t>
      </w:r>
    </w:p>
    <w:p>
      <w:pPr>
        <w:spacing w:after="160"/>
        <w:ind w:firstLine="360"/>
        <w:jc w:val="both"/>
      </w:pPr>
      <w:r>
        <w:rPr>
          <w:rFonts w:ascii="Times New Roman" w:hAnsi="Times New Roman"/>
          <w:sz w:val="22"/>
        </w:rPr>
        <w:t>The consequences are tangible. Graduates who have been taught traditional programming or database design find themselves poorly equipped when encountering the automated, cloud-native, AI-assisted pipelines that now characterise industry practice. Employers increasingly cite a mismatch not merely in technical skills but in the capacity for adaptive, interdisciplinary reasoning (World Economic Forum, 2023). This mismatch is particularly acute in vocational pathways serving non-traditional learners—those entering higher education from industry, caregiving, or underrepresented communities—for whom mathematical gatekeeping poses a disproportionate barrier.</w:t>
      </w:r>
    </w:p>
    <w:p>
      <w:pPr>
        <w:pStyle w:val="Heading2"/>
      </w:pPr>
      <w:r>
        <w:t>2.2 AutoML as a Democratising Technology</w:t>
      </w:r>
    </w:p>
    <w:p>
      <w:pPr>
        <w:spacing w:after="160"/>
        <w:ind w:firstLine="360"/>
        <w:jc w:val="both"/>
      </w:pPr>
      <w:r>
        <w:rPr>
          <w:rFonts w:ascii="Times New Roman" w:hAnsi="Times New Roman"/>
          <w:sz w:val="22"/>
        </w:rPr>
        <w:t>AutoML addresses this gap not by lowering standards but by redistributing cognitive load. Rather than requiring learners to master every layer of a machine learning stack before engaging with meaningful problems, AutoML systems surface the most consequential decision points—problem framing, feature selection, model interpretation, ethical deployment—while automating the most computationally intensive intermediate steps. This repositioning aligns naturally with constructivist and experiential learning theories, in which understanding is deepened through active engagement with authentic tasks rather than through passive reception of decontextualised content (Kolb, 1984; Vygotsky, 1978).</w:t>
      </w:r>
    </w:p>
    <w:p>
      <w:pPr>
        <w:spacing w:after="160"/>
        <w:ind w:firstLine="360"/>
        <w:jc w:val="both"/>
      </w:pPr>
      <w:r>
        <w:rPr>
          <w:rFonts w:ascii="Times New Roman" w:hAnsi="Times New Roman"/>
          <w:sz w:val="22"/>
        </w:rPr>
        <w:t>Critically, AutoML also embodies key principles of responsible AI. Systems that automate model selection and hyperparameter search must, if well-designed, embed mechanisms for leakage detection, reproducibility, and performance transparency. When learners interact with such systems as part of their training, they implicitly acquire a disposition toward rigour and accountability—competencies that are increasingly mandated by regulatory frameworks such as the EU AI Act and the UK AI Safety Institute's guidelines.</w:t>
      </w:r>
    </w:p>
    <w:p>
      <w:pPr>
        <w:pStyle w:val="Heading1"/>
      </w:pPr>
      <w:r>
        <w:t>3. MoSELA AutoML: A Modular Framework for Education and Research</w:t>
      </w:r>
    </w:p>
    <w:p>
      <w:pPr>
        <w:pStyle w:val="Heading2"/>
      </w:pPr>
      <w:r>
        <w:t>3.1 Framework Architecture</w:t>
      </w:r>
    </w:p>
    <w:p>
      <w:pPr>
        <w:spacing w:after="160"/>
        <w:ind w:firstLine="360"/>
        <w:jc w:val="both"/>
      </w:pPr>
      <w:r>
        <w:rPr>
          <w:rFonts w:ascii="Times New Roman" w:hAnsi="Times New Roman"/>
          <w:sz w:val="22"/>
        </w:rPr>
        <w:t>MoSELA AutoML (github.com/Tertsegha1/mosela-automl) is an open-source, general-purpose tabular AutoML framework developed to serve dual objectives: (i) state-of-the-art performance on real-world machine learning tasks, and (ii) pedagogical transparency that makes each pipeline stage visible, modifiable, and interpretable by learners at various levels of expertise.</w:t>
      </w:r>
    </w:p>
    <w:p>
      <w:pPr>
        <w:spacing w:after="160"/>
        <w:ind w:firstLine="360"/>
        <w:jc w:val="both"/>
      </w:pPr>
      <w:r>
        <w:rPr>
          <w:rFonts w:ascii="Times New Roman" w:hAnsi="Times New Roman"/>
          <w:sz w:val="22"/>
        </w:rPr>
        <w:t>The framework implements a staged pipeline comprising six principal phases: Profile, Preprocess, Coarse Search, Refinement, Champion Selection, and Deployment. In the Profile stage, the system performs structural and statistical analysis of the input dataset, surfacing issues such as class imbalance, high cardinality, missing value patterns, and potential target leakage. The Preprocess stage applies family-aware transformations—distinguishing, for example, between ordinal and nominal categoricals, between sparse and dense numerical distributions—to produce a cleaned, encoded feature matrix.</w:t>
      </w:r>
    </w:p>
    <w:p>
      <w:pPr>
        <w:spacing w:after="160"/>
        <w:ind w:firstLine="360"/>
        <w:jc w:val="both"/>
      </w:pPr>
      <w:r>
        <w:rPr>
          <w:rFonts w:ascii="Times New Roman" w:hAnsi="Times New Roman"/>
          <w:sz w:val="22"/>
        </w:rPr>
        <w:t>The Coarse Search stage employs Optuna (Akiba et al., 2019) for efficient Bayesian hyperparameter optimisation across a diverse ensemble of model families, including gradient boosting variants (XGBoost, LightGBM, CatBoost), linear models, tree ensembles, and support vector machines. A subsequent Refinement stage narrows the search space around the most promising configurations identified in the coarse pass. Champion Selection then applies cost-aware, multi-objective criteria—balancing predictive accuracy, inference latency, and interpretability—to select a final model. The selected champion is bundled with its preprocessing artefacts and exposed via a REST API built on FastAPI, enabling immediate deployment in downstream applications.</w:t>
      </w:r>
    </w:p>
    <w:p>
      <w:pPr>
        <w:pStyle w:val="Heading2"/>
      </w:pPr>
      <w:r>
        <w:t>3.2 Leakage Auditing and Responsible AI</w:t>
      </w:r>
    </w:p>
    <w:p>
      <w:pPr>
        <w:spacing w:after="160"/>
        <w:ind w:firstLine="360"/>
        <w:jc w:val="both"/>
      </w:pPr>
      <w:r>
        <w:rPr>
          <w:rFonts w:ascii="Times New Roman" w:hAnsi="Times New Roman"/>
          <w:sz w:val="22"/>
        </w:rPr>
        <w:t>A distinctive feature of MoSELA AutoML is its integrated leakage auditing module, which performs structural, semantic, and correlation-based checks at the data ingestion stage. Data leakage—the inadvertent inclusion of information from the target variable or future time steps into the training feature set—is one of the most common and consequential errors in applied machine learning, yet it receives insufficient attention in standard curricula. By surfacing leakage warnings as first-class outputs of the pipeline, MoSELA AutoML creates natural teachable moments, prompting learners to reason about the relationship between data collection, feature engineering, and model validity.</w:t>
      </w:r>
    </w:p>
    <w:p>
      <w:pPr>
        <w:spacing w:after="160"/>
        <w:ind w:firstLine="360"/>
        <w:jc w:val="both"/>
      </w:pPr>
      <w:r>
        <w:rPr>
          <w:rFonts w:ascii="Times New Roman" w:hAnsi="Times New Roman"/>
          <w:sz w:val="22"/>
        </w:rPr>
        <w:t>MLflow integration provides experiment tracking and reproducibility across all pipeline runs, ensuring that every model configuration, metric, and artefact is logged and recoverable. Docker support enables consistent execution across heterogeneous computing environments—a practically important affordance in educational settings where learners may work on institutionally managed machines, personal laptops, or cloud platforms. The full stack—Python, scikit-learn, Optuna, FastAPI, Docker, MLflow—comprises industry-standard tooling, ensuring that skills developed through interaction with MoSELA AutoML transfer directly to professional practice.</w:t>
      </w:r>
    </w:p>
    <w:p>
      <w:pPr>
        <w:pStyle w:val="Heading2"/>
      </w:pPr>
      <w:r>
        <w:t>3.3 Application to Sustainability Domains</w:t>
      </w:r>
    </w:p>
    <w:p>
      <w:pPr>
        <w:spacing w:after="160"/>
        <w:ind w:firstLine="360"/>
        <w:jc w:val="both"/>
      </w:pPr>
      <w:r>
        <w:rPr>
          <w:rFonts w:ascii="Times New Roman" w:hAnsi="Times New Roman"/>
          <w:sz w:val="22"/>
        </w:rPr>
        <w:t>MoSELA AutoML has been applied across a range of sustainability-relevant problem domains in both research and teaching contexts. In energy systems, the framework has been used to train models for anomaly detection in smart grid telemetry, supporting learner projects on predictive maintenance and demand forecasting. In cyber-physical security, it underpins the author's ongoing research into DDoS attack detection in electric vehicle (EV) charging systems using ensemble learning—a domain in which the ability to rapidly prototype and compare classifiers on imbalanced, multi-class datasets is critical (Anande &amp; Lakshminarayana, in preparation). In environmental informatics, student projects have leveraged the framework for air quality prediction and urban heat island modelling, connecting computational skills to SDG targets 11 (sustainable cities) and 13 (climate action).</w:t>
      </w:r>
    </w:p>
    <w:p>
      <w:pPr>
        <w:pStyle w:val="Heading1"/>
      </w:pPr>
      <w:r>
        <w:t>4. The Digital Transformation Studio: An AI-Powered Learning Ecosystem</w:t>
      </w:r>
    </w:p>
    <w:p>
      <w:pPr>
        <w:pStyle w:val="Heading2"/>
      </w:pPr>
      <w:r>
        <w:t>4.1 Design and Rationale</w:t>
      </w:r>
    </w:p>
    <w:p>
      <w:pPr>
        <w:spacing w:after="160"/>
        <w:ind w:firstLine="360"/>
        <w:jc w:val="both"/>
      </w:pPr>
      <w:r>
        <w:rPr>
          <w:rFonts w:ascii="Times New Roman" w:hAnsi="Times New Roman"/>
          <w:sz w:val="22"/>
        </w:rPr>
        <w:t>The Digital Transformation (DT) Studio was conceived as a response to a concrete pedagogical problem: how to sustain student engagement and formative development across a twelve-week MSc module (CMP701: Digital Transformation) that spans both highly conceptual content—digital strategy, organisational change, platform economics—and technically demanding assessment components involving data analysis and AI tool deployment. Traditional lecture-and-assessment designs, in the author's experience, produced bifurcated outcomes: strong performers consolidated their advantage early while weaker performers fell behind without early warning signals or corrective scaffolding.</w:t>
      </w:r>
    </w:p>
    <w:p>
      <w:pPr>
        <w:spacing w:after="160"/>
        <w:ind w:firstLine="360"/>
        <w:jc w:val="both"/>
      </w:pPr>
      <w:r>
        <w:rPr>
          <w:rFonts w:ascii="Times New Roman" w:hAnsi="Times New Roman"/>
          <w:sz w:val="22"/>
        </w:rPr>
        <w:t>The DT Studio addresses this by implementing a twelve-week formative learning scaffold built around weekly 'Guild Quest' tasks. Each Guild Quest is a brief, structured activity aligned to that week's lecture content and anchored to a real business case study. Tasks are deliberately varied in modality—written analysis, diagramming, data exploration, peer critique, ethical reflection—to accommodate diverse learning preferences and to mirror the multimodal competency demands of digital transformation roles. Completion of Guild Quests contributes to a portfolio that supplements summative assessment, providing both a motivation mechanism and a longitudinal record of learning development.</w:t>
      </w:r>
    </w:p>
    <w:p>
      <w:pPr>
        <w:pStyle w:val="Heading2"/>
      </w:pPr>
      <w:r>
        <w:t>4.2 The CMP701 Automated Marking and Grading System</w:t>
      </w:r>
    </w:p>
    <w:p>
      <w:pPr>
        <w:spacing w:after="160"/>
        <w:ind w:firstLine="360"/>
        <w:jc w:val="both"/>
      </w:pPr>
      <w:r>
        <w:rPr>
          <w:rFonts w:ascii="Times New Roman" w:hAnsi="Times New Roman"/>
          <w:sz w:val="22"/>
        </w:rPr>
        <w:t>Complementing the DT Studio is the CMP701 Automated Marking and Grading System (github.com/Tertsegha1/cmp701-grading-system), a browser-based, AI-powered assessment tool developed to address the scalability challenges of providing detailed, rubric-driven feedback to large MSc cohorts. The system integrates Cloudflare Workers AI—specifically the Llama 3.3 70B large language model—for rubric-driven grading of written reports (CW2) and the Whisper automatic speech recognition model for transcription and assessment of video presentations (CW1).</w:t>
      </w:r>
    </w:p>
    <w:p>
      <w:pPr>
        <w:spacing w:after="160"/>
        <w:ind w:firstLine="360"/>
        <w:jc w:val="both"/>
      </w:pPr>
      <w:r>
        <w:rPr>
          <w:rFonts w:ascii="Times New Roman" w:hAnsi="Times New Roman"/>
          <w:sz w:val="22"/>
        </w:rPr>
        <w:t>The architecture is deliberately zero-server-cost: all file extraction, transcription, and inference processing occurs client-side or via Cloudflare's edge network, eliminating hosting infrastructure and enabling deployment without institutional IT support. Role-based access controls distinguish between student-facing and staff-facing views. AI-generation detection is integrated to support academic integrity processes. Assessment outputs include per-criterion feedback aligned to the published marking rubric, weighted composite scores, downloadable HTML feedback reports, and Blackboard-compatible TXT export files.</w:t>
      </w:r>
    </w:p>
    <w:p>
      <w:pPr>
        <w:pStyle w:val="Heading2"/>
      </w:pPr>
      <w:r>
        <w:t>4.3 Outcomes and Evidence</w:t>
      </w:r>
    </w:p>
    <w:p>
      <w:pPr>
        <w:spacing w:after="160"/>
        <w:ind w:firstLine="360"/>
        <w:jc w:val="both"/>
      </w:pPr>
      <w:r>
        <w:rPr>
          <w:rFonts w:ascii="Times New Roman" w:hAnsi="Times New Roman"/>
          <w:sz w:val="22"/>
        </w:rPr>
        <w:t>The DT Studio and automated grading system were introduced for the 2025–26 cohort of CMP701 at QAHE–Ulster University, Birmingham. Outcome data demonstrate their combined effectiveness. The module pass rate rose to 98%+ while the failure rate fell to 1.14%—a statistically notable improvement relative to prior cohorts. Student feedback has been consistently positive, with qualitative responses highlighting the immediate, actionable nature of AI-generated feedback as a key driver of engagement.</w:t>
      </w:r>
    </w:p>
    <w:p>
      <w:pPr>
        <w:spacing w:after="160"/>
        <w:ind w:firstLine="360"/>
        <w:jc w:val="both"/>
      </w:pPr>
      <w:r>
        <w:rPr>
          <w:rFonts w:ascii="Times New Roman" w:hAnsi="Times New Roman"/>
          <w:sz w:val="22"/>
        </w:rPr>
        <w:t>From a pedagogical standpoint, the system's greatest contribution may be its temporal effect: by delivering substantive feedback within hours of submission rather than weeks, it enables students to reflect on and apply feedback before their engagement with the subject matter has faded. This aligns with established evidence on the importance of feedback immediacy in formative assessment (Hattie &amp; Timperley, 2007). The automated system also frees module staff from the most time-intensive aspects of marking administration, redirecting professional effort toward the higher-order activities of curriculum design, student mentoring, and research.</w:t>
      </w:r>
    </w:p>
    <w:p>
      <w:pPr>
        <w:pStyle w:val="Heading1"/>
      </w:pPr>
      <w:r>
        <w:t>5. Explainability, Reproducibility, and Responsible AI in the Curriculum</w:t>
      </w:r>
    </w:p>
    <w:p>
      <w:pPr>
        <w:spacing w:after="160"/>
        <w:ind w:firstLine="360"/>
        <w:jc w:val="both"/>
      </w:pPr>
      <w:r>
        <w:rPr>
          <w:rFonts w:ascii="Times New Roman" w:hAnsi="Times New Roman"/>
          <w:sz w:val="22"/>
        </w:rPr>
        <w:t>The integration of AutoML into vocational education raises important questions about epistemic responsibility. If learners interact with systems that make consequential modelling decisions autonomously, do they risk developing a passive, uncritical relationship with AI outputs? This concern is legitimate, but it points to a design imperative rather than a reason for avoidance. The resolution lies in ensuring that AutoML-based learning activities are structured to cultivate interpretive agency, not merely technical throughput.</w:t>
      </w:r>
    </w:p>
    <w:p>
      <w:pPr>
        <w:spacing w:after="160"/>
        <w:ind w:firstLine="360"/>
        <w:jc w:val="both"/>
      </w:pPr>
      <w:r>
        <w:rPr>
          <w:rFonts w:ascii="Times New Roman" w:hAnsi="Times New Roman"/>
          <w:sz w:val="22"/>
        </w:rPr>
        <w:t>MoSELA AutoML operationalises this through several design choices. Feature importance reporting and SHAP (SHapley Additive exPlanations) value outputs are surfaced as standard pipeline artefacts, prompting learners to interrogate which variables are driving predictions and whether those drivers are substantively meaningful. Champion selection criteria are exposed and adjustable, requiring learners to make explicit trade-offs between accuracy and interpretability—a decision that is fundamentally ethical as well as technical. Leakage audit reports function as structured prompts for epistemological reflection: why does this feature correlate so strongly with the target, and what does that tell us about the data generating process?</w:t>
      </w:r>
    </w:p>
    <w:p>
      <w:pPr>
        <w:spacing w:after="160"/>
        <w:ind w:firstLine="360"/>
        <w:jc w:val="both"/>
      </w:pPr>
      <w:r>
        <w:rPr>
          <w:rFonts w:ascii="Times New Roman" w:hAnsi="Times New Roman"/>
          <w:sz w:val="22"/>
        </w:rPr>
        <w:t>These design choices reflect a broader argument about the purpose of AI education in a vocational context. The goal is not to produce learners who can operate AI systems; it is to produce learners who can reason about them—who understand the assumptions embedded in model design, the limitations imposed by training data, and the ethical implications of deployment decisions. This is the competency that sustainable, responsible AI adoption actually requires, and it is one that AutoML-based pedagogy, properly designed, is uniquely positioned to develop.</w:t>
      </w:r>
    </w:p>
    <w:p>
      <w:pPr>
        <w:pStyle w:val="Heading1"/>
      </w:pPr>
      <w:r>
        <w:t>6. A Pedagogical Framework for Scalable AutoML-Integrated STEM Education</w:t>
      </w:r>
    </w:p>
    <w:p>
      <w:pPr>
        <w:pStyle w:val="Heading2"/>
      </w:pPr>
      <w:r>
        <w:t>6.1 The Four-Layer Model</w:t>
      </w:r>
    </w:p>
    <w:p>
      <w:pPr>
        <w:spacing w:after="160"/>
        <w:ind w:firstLine="360"/>
        <w:jc w:val="both"/>
      </w:pPr>
      <w:r>
        <w:rPr>
          <w:rFonts w:ascii="Times New Roman" w:hAnsi="Times New Roman"/>
          <w:sz w:val="22"/>
        </w:rPr>
        <w:t>Drawing on the author's teaching practice and the theoretical perspectives reviewed above, this paper proposes a four-layer pedagogical model for integrating AutoML into vocational STEM curricula. The layers are: (i) Contextualisation, (ii) Scaffolded Exploration, (iii) Critical Reflection, and (iv) Applied Production. Each layer corresponds to a distinct cognitive and motivational phase in the learner's engagement with AI tools.</w:t>
      </w:r>
    </w:p>
    <w:p>
      <w:pPr>
        <w:spacing w:after="160"/>
        <w:ind w:firstLine="360"/>
        <w:jc w:val="both"/>
      </w:pPr>
      <w:r>
        <w:rPr>
          <w:rFonts w:ascii="Times New Roman" w:hAnsi="Times New Roman"/>
          <w:sz w:val="22"/>
        </w:rPr>
        <w:t>In the Contextualisation layer, learners are presented with a sustainability problem domain—energy systems, smart cities, public health analytics—and asked to articulate the problem in terms that would make it tractable as a machine learning task. This phase foregrounds the non-technical competencies of problem framing, stakeholder analysis, and data ethics, ensuring that learners engage with AI as a sociotechnical rather than purely technical phenomenon.</w:t>
      </w:r>
    </w:p>
    <w:p>
      <w:pPr>
        <w:spacing w:after="160"/>
        <w:ind w:firstLine="360"/>
        <w:jc w:val="both"/>
      </w:pPr>
      <w:r>
        <w:rPr>
          <w:rFonts w:ascii="Times New Roman" w:hAnsi="Times New Roman"/>
          <w:sz w:val="22"/>
        </w:rPr>
        <w:t>The Scaffolded Exploration layer introduces MoSELA AutoML as a tool for iterative model development. Learners work with real or realistic datasets, guided by structured prompts that direct attention to the pipeline outputs most relevant to their problem: profiling reports, leakage warnings, model performance summaries, and SHAP values. The scaffolding is deliberately progressive, with guidance fading as learner competence develops.</w:t>
      </w:r>
    </w:p>
    <w:p>
      <w:pPr>
        <w:spacing w:after="160"/>
        <w:ind w:firstLine="360"/>
        <w:jc w:val="both"/>
      </w:pPr>
      <w:r>
        <w:rPr>
          <w:rFonts w:ascii="Times New Roman" w:hAnsi="Times New Roman"/>
          <w:sz w:val="22"/>
        </w:rPr>
        <w:t>Critical Reflection activities prompt learners to evaluate their models against the sustainability criteria established in the Contextualisation phase. Does the model generalise to the population it will be deployed on? Are the input features ethically appropriate? What are the consequences of a false positive or false negative in this context? These questions are answered in writing or discussion, developing the communicative and critical competencies that complement technical skills.</w:t>
      </w:r>
    </w:p>
    <w:p>
      <w:pPr>
        <w:spacing w:after="160"/>
        <w:ind w:firstLine="360"/>
        <w:jc w:val="both"/>
      </w:pPr>
      <w:r>
        <w:rPr>
          <w:rFonts w:ascii="Times New Roman" w:hAnsi="Times New Roman"/>
          <w:sz w:val="22"/>
        </w:rPr>
        <w:t>The Applied Production layer requires learners to deploy a functional model—using MoSELA AutoML's FastAPI integration—and to document the deployment for a simulated stakeholder audience. This phase develops professional communication skills and reinforces the connection between computational work and real-world value creation.</w:t>
      </w:r>
    </w:p>
    <w:p>
      <w:pPr>
        <w:pStyle w:val="Heading2"/>
      </w:pPr>
      <w:r>
        <w:t>6.2 Alignment with Industry and SDG Frameworks</w:t>
      </w:r>
    </w:p>
    <w:p>
      <w:pPr>
        <w:spacing w:after="160"/>
        <w:ind w:firstLine="360"/>
        <w:jc w:val="both"/>
      </w:pPr>
      <w:r>
        <w:rPr>
          <w:rFonts w:ascii="Times New Roman" w:hAnsi="Times New Roman"/>
          <w:sz w:val="22"/>
        </w:rPr>
        <w:t>The four-layer model maps naturally onto both industry competency frameworks and the United Nations Sustainable Development Goals. The World Economic Forum's Future of Jobs Report (2023) identifies analytical thinking, AI and big data literacy, and creative problem-solving as the three most rapidly growing competency demands. The four-layer model addresses all three, with particular emphasis on the integration of analytical rigour with creative and ethical reasoning that neither purely technical nor purely humanistic curricula achieve alone.</w:t>
      </w:r>
    </w:p>
    <w:p>
      <w:pPr>
        <w:spacing w:after="160"/>
        <w:ind w:firstLine="360"/>
        <w:jc w:val="both"/>
      </w:pPr>
      <w:r>
        <w:rPr>
          <w:rFonts w:ascii="Times New Roman" w:hAnsi="Times New Roman"/>
          <w:sz w:val="22"/>
        </w:rPr>
        <w:t>SDG 4 (Quality Education), SDG 9 (Industry, Innovation and Infrastructure), and SDG 17 (Partnerships for the Goals) are all directly implicated in the democratisation agenda this paper advances. By making advanced AI capabilities accessible to learners from diverse backgrounds through thoughtfully designed educational technology, applied and vocational institutions can become active contributors to the knowledge economy rather than passive recipients of its outputs.</w:t>
      </w:r>
    </w:p>
    <w:p>
      <w:pPr>
        <w:pStyle w:val="Heading1"/>
      </w:pPr>
      <w:r>
        <w:t>7. Implications and Future Directions</w:t>
      </w:r>
    </w:p>
    <w:p>
      <w:pPr>
        <w:spacing w:after="160"/>
        <w:ind w:firstLine="360"/>
        <w:jc w:val="both"/>
      </w:pPr>
      <w:r>
        <w:rPr>
          <w:rFonts w:ascii="Times New Roman" w:hAnsi="Times New Roman"/>
          <w:sz w:val="22"/>
        </w:rPr>
        <w:t>The evidence and arguments presented in this paper converge on several implications for policy, practice, and future research. For curriculum designers and programme leaders, the key implication is that the integration of AutoML and AI-driven assessment tools is not a supplementary enrichment activity but a structural necessity if vocational STEM programmes are to remain relevant and equitable. Curriculum frameworks must create space for iterative, tool-mediated learning and for the development of critical AI literacy alongside technical competence.</w:t>
      </w:r>
    </w:p>
    <w:p>
      <w:pPr>
        <w:spacing w:after="160"/>
        <w:ind w:firstLine="360"/>
        <w:jc w:val="both"/>
      </w:pPr>
      <w:r>
        <w:rPr>
          <w:rFonts w:ascii="Times New Roman" w:hAnsi="Times New Roman"/>
          <w:sz w:val="22"/>
        </w:rPr>
        <w:t>For institutional leaders and quality assurance bodies, the CMP701 case study suggests that AI-powered assessment tools can enhance both the quality and the timeliness of feedback at scale, potentially addressing one of the most persistent challenges in mass higher education. However, this requires institutional investment in staff development—educators must themselves develop competence in evaluating AI-generated feedback for accuracy and appropriateness, and in designing assessment tasks that remain meaningful in an AI-assisted environment.</w:t>
      </w:r>
    </w:p>
    <w:p>
      <w:pPr>
        <w:spacing w:after="160"/>
        <w:ind w:firstLine="360"/>
        <w:jc w:val="both"/>
      </w:pPr>
      <w:r>
        <w:rPr>
          <w:rFonts w:ascii="Times New Roman" w:hAnsi="Times New Roman"/>
          <w:sz w:val="22"/>
        </w:rPr>
        <w:t>Future research directions include: (i) longitudinal tracking of graduate outcomes to assess the impact of AutoML-integrated education on employment and career progression; (ii) investigation of differential effects across learner demographics, with particular attention to whether AutoML-based pedagogy reduces or perpetuates attainment gaps; (iii) development of benchmarking protocols for AI-powered assessment tools that can be adopted sector-wide; and (iv) extension of the MoSELA AutoML framework to multimodal and time-series domains, expanding its applicability in environmental and infrastructure monitoring contexts.</w:t>
      </w:r>
    </w:p>
    <w:p>
      <w:pPr>
        <w:pStyle w:val="Heading1"/>
      </w:pPr>
      <w:r>
        <w:t>8. Conclusion</w:t>
      </w:r>
    </w:p>
    <w:p>
      <w:pPr>
        <w:spacing w:after="160"/>
        <w:ind w:firstLine="360"/>
        <w:jc w:val="both"/>
      </w:pPr>
      <w:r>
        <w:rPr>
          <w:rFonts w:ascii="Times New Roman" w:hAnsi="Times New Roman"/>
          <w:sz w:val="22"/>
        </w:rPr>
        <w:t>This paper has argued that the democratisation of sustainable innovation requires a fundamental reimagining of how STEM is taught in applied and vocational education—one that takes seriously both the transformative potential and the ethical responsibilities of artificial intelligence. AutoML systems, properly designed and pedagogically embedded, can lower the technical barriers to meaningful AI engagement without sacrificing rigour. AI-driven learning ecosystems can provide the personalised, timely feedback that diverse learner cohorts require to develop genuine competence. Together, these technologies offer a practical pathway toward the inclusive, innovative, and sustainable workforce that the SDGs demand.</w:t>
      </w:r>
    </w:p>
    <w:p>
      <w:pPr>
        <w:spacing w:after="160"/>
        <w:ind w:firstLine="360"/>
        <w:jc w:val="both"/>
      </w:pPr>
      <w:r>
        <w:rPr>
          <w:rFonts w:ascii="Times New Roman" w:hAnsi="Times New Roman"/>
          <w:sz w:val="22"/>
        </w:rPr>
        <w:t>The MoSELA AutoML framework and the Digital Transformation Studio represent two concrete instantiations of this vision, grounded in the author's own research and teaching practice. The outcomes to date—a 98%+ module pass rate, consistently positive student feedback, and research publications advancing the state of the art in ensemble ML and EV security—suggest that this vision is achievable, and that its realisation is within the reach of committed educators, curriculum designers, and institutional leaders working in applied and vocational higher education.</w:t>
      </w:r>
    </w:p>
    <w:p>
      <w:pPr>
        <w:spacing w:after="160"/>
        <w:ind w:firstLine="360"/>
        <w:jc w:val="both"/>
      </w:pPr>
      <w:r>
        <w:rPr>
          <w:rFonts w:ascii="Times New Roman" w:hAnsi="Times New Roman"/>
          <w:sz w:val="22"/>
        </w:rPr>
        <w:t>The future of vocational STEM education is intelligent, scalable, and inclusive. This paper has attempted to demonstrate that it is also already underway.</w:t>
      </w:r>
    </w:p>
    <w:p>
      <w:pPr>
        <w:spacing w:after="40" w:before="40"/>
        <w:pBdr>
          <w:bottom w:val="single" w:sz="4" w:space="1" w:color="AAAAAA"/>
        </w:pBdr>
      </w:pPr>
    </w:p>
    <w:p>
      <w:pPr>
        <w:pStyle w:val="Heading1"/>
      </w:pPr>
      <w:r>
        <w:t>References</w:t>
      </w:r>
    </w:p>
    <w:p>
      <w:pPr>
        <w:spacing w:after="80"/>
        <w:ind w:hanging="360" w:left="360"/>
        <w:jc w:val="both"/>
      </w:pPr>
      <w:r>
        <w:rPr>
          <w:rFonts w:ascii="Times New Roman" w:hAnsi="Times New Roman"/>
          <w:sz w:val="20"/>
        </w:rPr>
        <w:t>Akiba, T., Sano, S., Yanase, T., Ohta, T., &amp; Koyama, M. (2019). Optuna: A next-generation hyperparameter optimization framework. Proceedings of the 25th ACM SIGKDD International Conference on Knowledge Discovery and Data Mining, 2623–2631.</w:t>
      </w:r>
    </w:p>
    <w:p>
      <w:pPr>
        <w:spacing w:after="80"/>
        <w:ind w:hanging="360" w:left="360"/>
        <w:jc w:val="both"/>
      </w:pPr>
      <w:r>
        <w:rPr>
          <w:rFonts w:ascii="Times New Roman" w:hAnsi="Times New Roman"/>
          <w:sz w:val="20"/>
        </w:rPr>
        <w:t>Anande, T. J., Alsaadi, S., and Leeson, M. (2025). Enhanced Modelling Performance with Boosting Ensemble Meta-Learning and Optuna Optimization. SN Computer Science, 6, 12. https://doi.org/10.1007/s42979-024-03544-3</w:t>
      </w:r>
    </w:p>
    <w:p>
      <w:pPr>
        <w:spacing w:after="80"/>
        <w:ind w:hanging="360" w:left="360"/>
        <w:jc w:val="both"/>
      </w:pPr>
      <w:r>
        <w:rPr>
          <w:rFonts w:ascii="Times New Roman" w:hAnsi="Times New Roman"/>
          <w:sz w:val="20"/>
        </w:rPr>
        <w:t>Anande, T. J., and Leeson, M. S. (2023). Synthetic Network Traffic Data Generation and Classification of Advanced Persistent Threat Samples: A Case Study with GANs and XGBoost. DeLTA, Springer, pp. 1–18.</w:t>
      </w:r>
    </w:p>
    <w:p>
      <w:pPr>
        <w:spacing w:after="80"/>
        <w:ind w:hanging="360" w:left="360"/>
        <w:jc w:val="both"/>
      </w:pPr>
      <w:r>
        <w:rPr>
          <w:rFonts w:ascii="Times New Roman" w:hAnsi="Times New Roman"/>
          <w:sz w:val="20"/>
        </w:rPr>
        <w:t>Anande, T. J., Al-Saadi, S., and Leeson, M. S. (2023). Generative Adversarial Networks for Network Traffic Feature Generation. IJCA, pp. 1–9.</w:t>
      </w:r>
    </w:p>
    <w:p>
      <w:pPr>
        <w:spacing w:after="80"/>
        <w:ind w:hanging="360" w:left="360"/>
        <w:jc w:val="both"/>
      </w:pPr>
      <w:r>
        <w:rPr>
          <w:rFonts w:ascii="Times New Roman" w:hAnsi="Times New Roman"/>
          <w:sz w:val="20"/>
        </w:rPr>
        <w:t>Anande, T. J., and Leeson, M. S. (2022). Generative Adversarial Networks (GANs): A Survey of Network Traffic Generation. IJMLC, 12(6), 333–343.</w:t>
      </w:r>
    </w:p>
    <w:p>
      <w:pPr>
        <w:spacing w:after="80"/>
        <w:ind w:hanging="360" w:left="360"/>
        <w:jc w:val="both"/>
      </w:pPr>
      <w:r>
        <w:rPr>
          <w:rFonts w:ascii="Times New Roman" w:hAnsi="Times New Roman"/>
          <w:sz w:val="20"/>
        </w:rPr>
        <w:t>Alsaadi, S., Anande, T. J., and Leeson, M. S. (2024). Comparative Analysis of 1D-CNN and 2D-CNN for Network Intrusion Detection in Software Defined Networks. EIDWT, Springer, pp. 480–491.</w:t>
      </w:r>
    </w:p>
    <w:p>
      <w:pPr>
        <w:spacing w:after="80"/>
        <w:ind w:hanging="360" w:left="360"/>
        <w:jc w:val="both"/>
      </w:pPr>
      <w:r>
        <w:rPr>
          <w:rFonts w:ascii="Times New Roman" w:hAnsi="Times New Roman"/>
          <w:sz w:val="20"/>
        </w:rPr>
        <w:t>Hattie, J., &amp; Timperley, H. (2007). The power of feedback. Review of Educational Research, 77(1), 81–112.</w:t>
      </w:r>
    </w:p>
    <w:p>
      <w:pPr>
        <w:spacing w:after="80"/>
        <w:ind w:hanging="360" w:left="360"/>
        <w:jc w:val="both"/>
      </w:pPr>
      <w:r>
        <w:rPr>
          <w:rFonts w:ascii="Times New Roman" w:hAnsi="Times New Roman"/>
          <w:sz w:val="20"/>
        </w:rPr>
        <w:t>Kolb, D. A. (1984). Experiential Learning: Experience as the Source of Learning and Development. Prentice Hall.</w:t>
      </w:r>
    </w:p>
    <w:p>
      <w:pPr>
        <w:spacing w:after="80"/>
        <w:ind w:hanging="360" w:left="360"/>
        <w:jc w:val="both"/>
      </w:pPr>
      <w:r>
        <w:rPr>
          <w:rFonts w:ascii="Times New Roman" w:hAnsi="Times New Roman"/>
          <w:sz w:val="20"/>
        </w:rPr>
        <w:t>Luckin, R., Cukurova, M., Kent, C., &amp; du Boulay, B. (2022). Empowering educators to be AI-ready. Computers and Education: Artificial Intelligence, 3, 100076.</w:t>
      </w:r>
    </w:p>
    <w:p>
      <w:pPr>
        <w:spacing w:after="80"/>
        <w:ind w:hanging="360" w:left="360"/>
        <w:jc w:val="both"/>
      </w:pPr>
      <w:r>
        <w:rPr>
          <w:rFonts w:ascii="Times New Roman" w:hAnsi="Times New Roman"/>
          <w:sz w:val="20"/>
        </w:rPr>
        <w:t>UNESCO. (2021). Reimagining our futures together: A new social contract for education. UNESCO Publishing.</w:t>
      </w:r>
    </w:p>
    <w:p>
      <w:pPr>
        <w:spacing w:after="80"/>
        <w:ind w:hanging="360" w:left="360"/>
        <w:jc w:val="both"/>
      </w:pPr>
      <w:r>
        <w:rPr>
          <w:rFonts w:ascii="Times New Roman" w:hAnsi="Times New Roman"/>
          <w:sz w:val="20"/>
        </w:rPr>
        <w:t>Vygotsky, L. S. (1978). Mind in Society: The Development of Higher Psychological Processes. Harvard University Press.</w:t>
      </w:r>
    </w:p>
    <w:p>
      <w:pPr>
        <w:spacing w:after="80"/>
        <w:ind w:hanging="360" w:left="360"/>
        <w:jc w:val="both"/>
      </w:pPr>
      <w:r>
        <w:rPr>
          <w:rFonts w:ascii="Times New Roman" w:hAnsi="Times New Roman"/>
          <w:sz w:val="20"/>
        </w:rPr>
        <w:t>World Economic Forum. (2023). Future of Jobs Report 2023. World Economic Forum.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E4078"/>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E40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