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Массовый баланс и тяговооружённость</w:t>
        <w:br/>
        <w:t>возвращаемой ракеты массой 30 тонн</w:t>
      </w:r>
    </w:p>
    <w:p>
      <w:pPr>
        <w:pStyle w:val="Subtitle"/>
      </w:pPr>
      <w:r>
        <w:t>КР 3   Расчёт для суборбитального прототипа VTVL</w:t>
      </w:r>
    </w:p>
    <w:p>
      <w:r>
        <w:t>Расчёт определяет расход топлива, изменение массы и тяговооружённости при дросселировании 40–100%. Посадочный запас 3000 кг соответствует 19,62 с работы на установившейся полной тяге. При задержке 1,5 с и расчётном наборе тяги за 1,0 с выгорание наступает через 21,62 с от команды.</w:t>
      </w:r>
    </w:p>
    <w:p>
      <w:pPr>
        <w:pStyle w:val="Heading1"/>
      </w:pPr>
      <w:r>
        <w:t>1 Исходные данные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75" w:type="dxa"/>
          <w:right w:w="75" w:type="dxa"/>
        </w:tblCellMar>
      </w:tblPr>
      <w:tblGrid>
        <w:gridCol w:w="5256"/>
        <w:gridCol w:w="1800"/>
        <w:gridCol w:w="3168"/>
      </w:tblGrid>
      <w:tr>
        <w:trPr>
          <w:tblHeader/>
        </w:trPr>
        <w:tc>
          <w:tcPr>
            <w:tcW w:type="dxa" w:w="5256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9"/>
              </w:rPr>
              <w:t>Параметр</w:t>
            </w:r>
          </w:p>
        </w:tc>
        <w:tc>
          <w:tcPr>
            <w:tcW w:type="dxa" w:w="1800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9"/>
              </w:rPr>
              <w:t>Обозначение</w:t>
            </w:r>
          </w:p>
        </w:tc>
        <w:tc>
          <w:tcPr>
            <w:tcW w:type="dxa" w:w="3168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FFFFF"/>
          </w:tcPr>
          <w:p>
            <w:pPr>
              <w:spacing w:after="0" w:before="0" w:line="257" w:lineRule="auto"/>
              <w:jc w:val="left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Стартовая масса ракеты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m₀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30 000 кг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2F5F8"/>
          </w:tcPr>
          <w:p>
            <w:pPr>
              <w:spacing w:after="0" w:before="0" w:line="257" w:lineRule="auto"/>
              <w:jc w:val="left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Сухая масса с нерасходуемой нагрузкой</w:t>
            </w:r>
          </w:p>
        </w:tc>
        <w:tc>
          <w:tcPr>
            <w:tcW w:type="dxa" w:w="1800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m_dry</w:t>
            </w:r>
          </w:p>
        </w:tc>
        <w:tc>
          <w:tcPr>
            <w:tcW w:type="dxa" w:w="316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10 000 кг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FFFFF"/>
          </w:tcPr>
          <w:p>
            <w:pPr>
              <w:spacing w:after="0" w:before="0" w:line="257" w:lineRule="auto"/>
              <w:jc w:val="left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Начальный запас горючего и окислителя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P₀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20 000 кг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2F5F8"/>
          </w:tcPr>
          <w:p>
            <w:pPr>
              <w:spacing w:after="0" w:before="0" w:line="257" w:lineRule="auto"/>
              <w:jc w:val="left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Максимальная суммарная тяга</w:t>
            </w:r>
          </w:p>
        </w:tc>
        <w:tc>
          <w:tcPr>
            <w:tcW w:type="dxa" w:w="1800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T_max</w:t>
            </w:r>
          </w:p>
        </w:tc>
        <w:tc>
          <w:tcPr>
            <w:tcW w:type="dxa" w:w="316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450 кН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FFFFF"/>
          </w:tcPr>
          <w:p>
            <w:pPr>
              <w:spacing w:after="0" w:before="0" w:line="257" w:lineRule="auto"/>
              <w:jc w:val="left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Расчётный удельный импульс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I_sp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300 с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2F5F8"/>
          </w:tcPr>
          <w:p>
            <w:pPr>
              <w:spacing w:after="0" w:before="0" w:line="257" w:lineRule="auto"/>
              <w:jc w:val="left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Ускорения в формуле расхода и веса</w:t>
            </w:r>
          </w:p>
        </w:tc>
        <w:tc>
          <w:tcPr>
            <w:tcW w:type="dxa" w:w="1800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g₀; g</w:t>
            </w:r>
          </w:p>
        </w:tc>
        <w:tc>
          <w:tcPr>
            <w:tcW w:type="dxa" w:w="316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9,81 м/с²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FFFFF"/>
          </w:tcPr>
          <w:p>
            <w:pPr>
              <w:spacing w:after="0" w:before="0" w:line="257" w:lineRule="auto"/>
              <w:jc w:val="left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Установившееся дросселирование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u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40–100%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2F5F8"/>
          </w:tcPr>
          <w:p>
            <w:pPr>
              <w:spacing w:after="0" w:before="0" w:line="257" w:lineRule="auto"/>
              <w:jc w:val="left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Посадочный запас в расчёте</w:t>
            </w:r>
          </w:p>
        </w:tc>
        <w:tc>
          <w:tcPr>
            <w:tcW w:type="dxa" w:w="1800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P_L</w:t>
            </w:r>
          </w:p>
        </w:tc>
        <w:tc>
          <w:tcPr>
            <w:tcW w:type="dxa" w:w="316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3 000 кг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FFFFF"/>
          </w:tcPr>
          <w:p>
            <w:pPr>
              <w:spacing w:after="0" w:before="0" w:line="257" w:lineRule="auto"/>
              <w:jc w:val="left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Масса при команде посадочного запуска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m_L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13 000 кг</w:t>
            </w:r>
          </w:p>
        </w:tc>
      </w:tr>
      <w:tr>
        <w:trPr>
          <w:cantSplit/>
        </w:trPr>
        <w:tc>
          <w:tcPr>
            <w:tcW w:type="dxa" w:w="5256"/>
            <w:vAlign w:val="center"/>
            <w:shd w:fill="F2F5F8"/>
          </w:tcPr>
          <w:p>
            <w:pPr>
              <w:spacing w:after="0" w:before="0" w:line="257" w:lineRule="auto"/>
              <w:jc w:val="left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Задержка до полезной тяги</w:t>
            </w:r>
          </w:p>
        </w:tc>
        <w:tc>
          <w:tcPr>
            <w:tcW w:type="dxa" w:w="1800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τ_ign</w:t>
            </w:r>
          </w:p>
        </w:tc>
        <w:tc>
          <w:tcPr>
            <w:tcW w:type="dxa" w:w="316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9"/>
              </w:rPr>
              <w:t>1,5 с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t>Принят единый VTVL-прототип из решения команды от 26.09.2026: диаметр 1,8 м, высота 22 м, расчётная площадь сечения 2,55 м². Приложенный «Паспорт ракеты.pdf» описывает полноразмерный Falcon 9; его массы, двигатели и удельные импульсы не задают параметры этого прототипа.</w:t>
      </w:r>
    </w:p>
    <w:p>
      <w:pPr>
        <w:pStyle w:val="Heading2"/>
      </w:pPr>
      <w:r>
        <w:t>Баланс топлива по этапам</w:t>
      </w:r>
    </w:p>
    <w:p>
      <w:pPr>
        <w:spacing w:before="60" w:after="140"/>
        <w:jc w:val="center"/>
      </w:pPr>
      <m:oMathPara>
        <m:oMathParaPr>
          <m:jc m:val="center"/>
        </m:oMathParaPr>
        <m:oMath>
          <m:sSub>
            <m:e>
              <m:r>
                <w:rPr>
                  <w:rFonts w:ascii="Cambria Math" w:hAnsi="Cambria Math"/>
                  <w:sz w:val="24"/>
                </w:rPr>
                <m:t xml:space="preserve">m</m:t>
              </m:r>
            </m:e>
            <m:sub>
              <m:r>
                <w:rPr>
                  <w:rFonts w:ascii="Cambria Math" w:hAnsi="Cambria Math"/>
                  <w:sz w:val="24"/>
                </w:rPr>
                <m:t xml:space="preserve">0</m:t>
              </m:r>
            </m:sub>
          </m:sSub>
          <m:r>
            <w:rPr>
              <w:rFonts w:ascii="Cambria Math" w:hAnsi="Cambria Math"/>
              <w:sz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dry</m:t>
              </m:r>
            </m:sub>
          </m:sSub>
          <m:r>
            <w:rPr>
              <w:rFonts w:ascii="Cambria Math" w:hAnsi="Cambria Math"/>
              <w:sz w:val="24"/>
            </w:rPr>
            <m:t xml:space="preserve"> = 20 000 </m:t>
          </m:r>
          <m:r>
            <m:rPr>
              <m:sty m:val="p"/>
            </m:rPr>
            <w:rPr>
              <w:rFonts w:ascii="Cambria Math" w:hAnsi="Cambria Math"/>
              <w:sz w:val="24"/>
            </w:rPr>
            <m:t xml:space="preserve">кг</m:t>
          </m:r>
          <m:r>
            <w:rPr>
              <w:rFonts w:ascii="Cambria Math" w:hAnsi="Cambria Math"/>
              <w:sz w:val="24"/>
            </w:rPr>
            <m:t xml:space="preserve">;      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L</m:t>
              </m:r>
            </m:sub>
          </m:sSub>
          <m:r>
            <w:rPr>
              <w:rFonts w:ascii="Cambria Math" w:hAnsi="Cambria Math"/>
              <w:sz w:val="24"/>
            </w:rPr>
            <m:t xml:space="preserve"> = 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dry</m:t>
              </m:r>
            </m:sub>
          </m:sSub>
          <m:r>
            <w:rPr>
              <w:rFonts w:ascii="Cambria Math" w:hAnsi="Cambria Math"/>
              <w:sz w:val="24"/>
            </w:rPr>
            <m:t xml:space="preserve"> + 3000 = 13 000 </m:t>
          </m:r>
          <m:r>
            <m:rPr>
              <m:sty m:val="p"/>
            </m:rPr>
            <w:rPr>
              <w:rFonts w:ascii="Cambria Math" w:hAnsi="Cambria Math"/>
              <w:sz w:val="24"/>
            </w:rPr>
            <m:t xml:space="preserve">кг</m:t>
          </m:r>
        </m:oMath>
      </m:oMathPara>
    </w:p>
    <w:p>
      <w:r>
        <w:t>До начала посадочного запуска суммарно можно израсходовать не более 17 000 кг. В таблицах взята нижняя расчётная граница посадочного остатка — ровно 3000 кг; задача КР 4 предусматривает запас свыше этой границы. Расходы на разгон и другие манёвры входят в один общий бюджет.</w:t>
      </w:r>
    </w:p>
    <w:p>
      <w:r>
        <w:t>Допущения: I_sp = 300 с сохранён как параметр расчёта КР 3; g₀ округлено по заданию. Сухая масса постоянна, отделение ступеней отсутствует. Пусковые потери без полезной тяги и невырабатываемый остаток требуют отдельного вычета из запаса; в численном примере они приняты равными нулю.</w:t>
      </w:r>
    </w:p>
    <w:p>
      <w:pPr>
        <w:pStyle w:val="Heading1"/>
        <w:pageBreakBefore/>
      </w:pPr>
      <w:r>
        <w:t>2 Расход топлива и конечное время запуска</w:t>
      </w:r>
    </w:p>
    <w:p>
      <w:r>
        <w:t>Из определения удельного импульса [1] следует связь фактической тяги с положительным массовым расходом q:</w:t>
      </w:r>
    </w:p>
    <w:p>
      <w:pPr>
        <w:spacing w:before="60" w:after="140"/>
        <w:jc w:val="center"/>
      </w:pPr>
      <m:oMathPara>
        <m:oMathParaPr>
          <m:jc m:val="center"/>
        </m:oMathParaPr>
        <m:oMath>
          <m:sSub>
            <m:e>
              <m:r>
                <w:rPr>
                  <w:rFonts w:ascii="Cambria Math" w:hAnsi="Cambria Math"/>
                  <w:sz w:val="24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sp</m:t>
              </m:r>
            </m:sub>
          </m:sSub>
          <m:r>
            <w:rPr>
              <w:rFonts w:ascii="Cambria Math" w:hAnsi="Cambria Math"/>
              <w:sz w:val="24"/>
            </w:rPr>
            <m:t xml:space="preserve"> = </m:t>
          </m:r>
          <m:f>
            <m:num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 xml:space="preserve">факт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</w:rPr>
                <m:t xml:space="preserve">q </m:t>
              </m:r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g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 xml:space="preserve">0</m:t>
                  </m:r>
                </m:sub>
              </m:sSub>
            </m:den>
          </m:f>
          <m:r>
            <w:rPr>
              <w:rFonts w:ascii="Cambria Math" w:hAnsi="Cambria Math"/>
              <w:sz w:val="24"/>
            </w:rPr>
            <m:t xml:space="preserve">   ⇒   </m:t>
          </m:r>
          <m:f>
            <m:num>
              <m:r>
                <w:rPr>
                  <w:rFonts w:ascii="Cambria Math" w:hAnsi="Cambria Math"/>
                  <w:sz w:val="24"/>
                </w:rPr>
                <m:t xml:space="preserve">dm</m:t>
              </m:r>
            </m:num>
            <m:den>
              <m:r>
                <w:rPr>
                  <w:rFonts w:ascii="Cambria Math" w:hAnsi="Cambria Math"/>
                  <w:sz w:val="24"/>
                </w:rPr>
                <m:t xml:space="preserve">dt</m:t>
              </m:r>
            </m:den>
          </m:f>
          <m:r>
            <w:rPr>
              <w:rFonts w:ascii="Cambria Math" w:hAnsi="Cambria Math"/>
              <w:sz w:val="24"/>
            </w:rPr>
            <m:t xml:space="preserve"> = −q = −</m:t>
          </m:r>
          <m:f>
            <m:num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 xml:space="preserve">факт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 xml:space="preserve">sp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 xml:space="preserve"> </m:t>
              </m:r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g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 xml:space="preserve">0</m:t>
                  </m:r>
                </m:sub>
              </m:sSub>
            </m:den>
          </m:f>
        </m:oMath>
      </m:oMathPara>
    </w:p>
    <w:p>
      <w:pPr>
        <w:spacing w:before="60" w:after="140"/>
        <w:jc w:val="center"/>
      </w:pPr>
      <m:oMathPara>
        <m:oMathParaPr>
          <m:jc m:val="center"/>
        </m:oMathParaPr>
        <m:oMath>
          <m:sSub>
            <m:e>
              <m:r>
                <w:rPr>
                  <w:rFonts w:ascii="Cambria Math" w:hAnsi="Cambria Math"/>
                  <w:sz w:val="24"/>
                </w:rPr>
                <m:t xml:space="preserve">q</m:t>
              </m:r>
            </m:e>
            <m:sub>
              <m:r>
                <w:rPr>
                  <w:rFonts w:ascii="Cambria Math" w:hAnsi="Cambria Math"/>
                  <w:sz w:val="24"/>
                </w:rPr>
                <m:t xml:space="preserve">100%</m:t>
              </m:r>
            </m:sub>
          </m:sSub>
          <m:r>
            <w:rPr>
              <w:rFonts w:ascii="Cambria Math" w:hAnsi="Cambria Math"/>
              <w:sz w:val="24"/>
            </w:rPr>
            <m:t xml:space="preserve"> = </m:t>
          </m:r>
          <m:f>
            <m:num>
              <m:r>
                <w:rPr>
                  <w:rFonts w:ascii="Cambria Math" w:hAnsi="Cambria Math"/>
                  <w:sz w:val="24"/>
                </w:rPr>
                <m:t xml:space="preserve">450 000</m:t>
              </m:r>
            </m:num>
            <m:den>
              <m:r>
                <w:rPr>
                  <w:rFonts w:ascii="Cambria Math" w:hAnsi="Cambria Math"/>
                  <w:sz w:val="24"/>
                </w:rPr>
                <m:t xml:space="preserve">300 · 9,81</m:t>
              </m:r>
            </m:den>
          </m:f>
          <m:r>
            <w:rPr>
              <w:rFonts w:ascii="Cambria Math" w:hAnsi="Cambria Math"/>
              <w:sz w:val="24"/>
            </w:rPr>
            <m:t xml:space="preserve"> = </m:t>
          </m:r>
          <m:r>
            <w:rPr>
              <w:rFonts w:ascii="Cambria Math" w:hAnsi="Cambria Math"/>
              <w:sz w:val="24"/>
            </w:rPr>
            <m:t xml:space="preserve">152,905199</m:t>
          </m:r>
          <m:r>
            <w:rPr>
              <w:rFonts w:ascii="Cambria Math" w:hAnsi="Cambria Math"/>
              <w:sz w:val="24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4"/>
            </w:rPr>
            <m:t xml:space="preserve">кг/с</m:t>
          </m:r>
        </m:oMath>
      </m:oMathPara>
    </w:p>
    <w:p>
      <w:r>
        <w:t>Расход включает горючее и окислитель. Для команды u установившийся расход q_ss = u·152,905199 кг/с; во время запуска используется фактическая тяга, а не сразу заданная команда.</w:t>
      </w:r>
    </w:p>
    <w:p>
      <w:pPr>
        <w:pStyle w:val="Heading2"/>
      </w:pPr>
      <w:r>
        <w:t>Задержка и набор тяги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75" w:type="dxa"/>
          <w:right w:w="75" w:type="dxa"/>
        </w:tblCellMar>
      </w:tblPr>
      <w:tblGrid>
        <w:gridCol w:w="2376"/>
        <w:gridCol w:w="3456"/>
        <w:gridCol w:w="4392"/>
      </w:tblGrid>
      <w:tr>
        <w:trPr>
          <w:tblHeader/>
        </w:trPr>
        <w:tc>
          <w:tcPr>
            <w:tcW w:type="dxa" w:w="2376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Период от команды</w:t>
            </w:r>
          </w:p>
        </w:tc>
        <w:tc>
          <w:tcPr>
            <w:tcW w:type="dxa" w:w="3456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Фактическая тяга</w:t>
            </w:r>
          </w:p>
        </w:tc>
        <w:tc>
          <w:tcPr>
            <w:tcW w:type="dxa" w:w="4392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Статус параметра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spacing w:after="0" w:before="0" w:line="257" w:lineRule="auto"/>
              <w:jc w:val="left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0–1,5 с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Заданная задержка 1,5 с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5F8"/>
          </w:tcPr>
          <w:p>
            <w:pPr>
              <w:spacing w:after="0" w:before="0" w:line="257" w:lineRule="auto"/>
              <w:jc w:val="left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1,5–2,5 с</w:t>
            </w:r>
          </w:p>
        </w:tc>
        <w:tc>
          <w:tcPr>
            <w:tcW w:type="dxa" w:w="345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Линейный рост от 0 до u·T_max</w:t>
            </w:r>
          </w:p>
        </w:tc>
        <w:tc>
          <w:tcPr>
            <w:tcW w:type="dxa" w:w="4392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Набор τ_r = 1,0 с — допущение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spacing w:after="0" w:before="0" w:line="257" w:lineRule="auto"/>
              <w:jc w:val="left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После 2,5 с до выгорания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u·T_max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Установившийся режим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t>Здесь 1,5 с трактуются как полная пауза без полезной тяги. Длительность её набора вынесена в отдельный параметр τ_r: паспортной кривой VTVL в приложениях нет. Значение 1,0 с служит явной аппроксимацией для таблиц и графика; оно не является характеристикой реального двигателя.</w:t>
      </w:r>
    </w:p>
    <w:p>
      <w:pPr>
        <w:spacing w:before="60" w:after="14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 xml:space="preserve">z = max(0, t − 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τ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ign</m:t>
              </m:r>
            </m:sub>
          </m:sSub>
          <m:r>
            <w:rPr>
              <w:rFonts w:ascii="Cambria Math" w:hAnsi="Cambria Math"/>
              <w:sz w:val="24"/>
            </w:rPr>
            <m:t xml:space="preserve">);      α(t) = min(1, </m:t>
          </m:r>
          <m:f>
            <m:num>
              <m:r>
                <w:rPr>
                  <w:rFonts w:ascii="Cambria Math" w:hAnsi="Cambria Math"/>
                  <w:sz w:val="24"/>
                </w:rPr>
                <m:t xml:space="preserve">z</m:t>
              </m:r>
            </m:num>
            <m:den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 xml:space="preserve">r</m:t>
                  </m:r>
                </m:sub>
              </m:sSub>
            </m:den>
          </m:f>
          <m:r>
            <w:rPr>
              <w:rFonts w:ascii="Cambria Math" w:hAnsi="Cambria Math"/>
              <w:sz w:val="24"/>
            </w:rPr>
            <m:t xml:space="preserve">)</m:t>
          </m:r>
        </m:oMath>
      </m:oMathPara>
    </w:p>
    <w:p>
      <w:pPr>
        <w:spacing w:before="60" w:after="140"/>
        <w:jc w:val="center"/>
      </w:pPr>
      <m:oMathPara>
        <m:oMathParaPr>
          <m:jc m:val="center"/>
        </m:oMathParaPr>
        <m:oMath>
          <m:sSub>
            <m:e>
              <m:r>
                <w:rPr>
                  <w:rFonts w:ascii="Cambria Math" w:hAnsi="Cambria Math"/>
                  <w:sz w:val="24"/>
                </w:rPr>
                <m:t xml:space="preserve"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факт</m:t>
              </m:r>
            </m:sub>
          </m:sSub>
          <m:r>
            <w:rPr>
              <w:rFonts w:ascii="Cambria Math" w:hAnsi="Cambria Math"/>
              <w:sz w:val="24"/>
            </w:rPr>
            <m:t xml:space="preserve">(t) = u 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max</m:t>
              </m:r>
            </m:sub>
          </m:sSub>
          <m:r>
            <w:rPr>
              <w:rFonts w:ascii="Cambria Math" w:hAnsi="Cambria Math"/>
              <w:sz w:val="24"/>
            </w:rPr>
            <m:t xml:space="preserve"> α(t)   </m:t>
          </m:r>
          <m:r>
            <m:rPr>
              <m:sty m:val="p"/>
            </m:rPr>
            <w:rPr>
              <w:rFonts w:ascii="Cambria Math" w:hAnsi="Cambria Math"/>
              <w:sz w:val="24"/>
            </w:rPr>
            <m:t xml:space="preserve">при наличии топлива</m:t>
          </m:r>
        </m:oMath>
      </m:oMathPara>
    </w:p>
    <w:p>
      <w:r>
        <w:t>При запуске фактическая тяга проходит через значения ниже 40%. Ограничение 40–100% относится к установившемуся режиму; изменение команды и выключение также требуют переходной характеристики двигателя.</w:t>
      </w:r>
    </w:p>
    <w:p>
      <w:pPr>
        <w:pStyle w:val="Heading2"/>
      </w:pPr>
      <w:r>
        <w:t>Интегральный закон изменения массы</w:t>
      </w:r>
    </w:p>
    <w:p>
      <w:pPr>
        <w:spacing w:before="60" w:after="14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 xml:space="preserve">S(t) = </m:t>
          </m:r>
          <m:f>
            <m:num>
              <m:sSup>
                <m:e>
                  <m:r>
                    <w:rPr>
                      <w:rFonts w:ascii="Cambria Math" w:hAnsi="Cambria Math"/>
                      <w:sz w:val="24"/>
                    </w:rPr>
                    <m:t xml:space="preserve">min(z, </m:t>
                  </m:r>
                  <m:sSub>
                    <m:e>
                      <m:r>
                        <w:rPr>
                          <w:rFonts w:ascii="Cambria Math" w:hAnsi="Cambria Math"/>
                          <w:sz w:val="24"/>
                        </w:rPr>
                        <m:t xml:space="preserve"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 xml:space="preserve">r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</w:rPr>
                    <m:t xml:space="preserve">)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 xml:space="preserve"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</w:rPr>
                <m:t xml:space="preserve">2 </m:t>
              </m:r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 xml:space="preserve">r</m:t>
                  </m:r>
                </m:sub>
              </m:sSub>
            </m:den>
          </m:f>
          <m:r>
            <w:rPr>
              <w:rFonts w:ascii="Cambria Math" w:hAnsi="Cambria Math"/>
              <w:sz w:val="24"/>
            </w:rPr>
            <m:t xml:space="preserve"> + max(0, z − 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τ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r</m:t>
              </m:r>
            </m:sub>
          </m:sSub>
          <m:r>
            <w:rPr>
              <w:rFonts w:ascii="Cambria Math" w:hAnsi="Cambria Math"/>
              <w:sz w:val="24"/>
            </w:rPr>
            <m:t xml:space="preserve">)</m:t>
          </m:r>
        </m:oMath>
      </m:oMathPara>
    </w:p>
    <w:p>
      <w:pPr>
        <w:spacing w:before="60" w:after="14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 xml:space="preserve">m(t) = max(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dry</m:t>
              </m:r>
            </m:sub>
          </m:sSub>
          <m:r>
            <w:rPr>
              <w:rFonts w:ascii="Cambria Math" w:hAnsi="Cambria Math"/>
              <w:sz w:val="24"/>
            </w:rPr>
            <m:t xml:space="preserve">, 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start</m:t>
              </m:r>
            </m:sub>
          </m:sSub>
          <m:r>
            <w:rPr>
              <w:rFonts w:ascii="Cambria Math" w:hAnsi="Cambria Math"/>
              <w:sz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ss</m:t>
              </m:r>
            </m:sub>
          </m:sSub>
          <m:r>
            <w:rPr>
              <w:rFonts w:ascii="Cambria Math" w:hAnsi="Cambria Math"/>
              <w:sz w:val="24"/>
            </w:rPr>
            <m:t xml:space="preserve"> S(t))</m:t>
          </m:r>
        </m:oMath>
      </m:oMathPara>
    </w:p>
    <w:p>
      <w:r>
        <w:t>Для полного запаса m_start = 30 000 кг; для посадочного участка m_start = 13 000 кг. Дополнительный пусковой расход q_aux добавляется в баланс отдельно: dm/dt = −T_факт/(I_sp·g₀) − q_aux. После исчерпания доступного топлива расход и тяга равны нулю.</w:t>
      </w:r>
    </w:p>
    <w:p>
      <w:pPr>
        <w:pStyle w:val="Heading1"/>
        <w:pageBreakBefore/>
      </w:pPr>
      <w:r>
        <w:t>3 Расход и время выгорания баков</w:t>
      </w:r>
    </w:p>
    <w:p>
      <w:r>
        <w:t>Каждый режим рассчитывается независимо. Во всех столбцах «от команды» учтены задержка 1,5 с и линейный набор за 1,0 с. Эквивалентное время P/q_ss показывает запас при уже установившейся тяге.</w:t>
      </w:r>
    </w:p>
    <w:p>
      <w:pPr>
        <w:pStyle w:val="Caption"/>
      </w:pPr>
      <w:r>
        <w:t>Таблица 1. Полный начальный запас 20 000 кг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75" w:type="dxa"/>
          <w:right w:w="75" w:type="dxa"/>
        </w:tblCellMar>
      </w:tblPr>
      <w:tblGrid>
        <w:gridCol w:w="936"/>
        <w:gridCol w:w="1152"/>
        <w:gridCol w:w="1728"/>
        <w:gridCol w:w="2232"/>
        <w:gridCol w:w="2088"/>
        <w:gridCol w:w="2088"/>
      </w:tblGrid>
      <w:tr>
        <w:trPr>
          <w:tblHeader/>
        </w:trPr>
        <w:tc>
          <w:tcPr>
            <w:tcW w:type="dxa" w:w="936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Режим</w:t>
            </w:r>
          </w:p>
        </w:tc>
        <w:tc>
          <w:tcPr>
            <w:tcW w:type="dxa" w:w="1152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Тяга</w:t>
              <w:br/>
              <w:t>кН</w:t>
            </w:r>
          </w:p>
        </w:tc>
        <w:tc>
          <w:tcPr>
            <w:tcW w:type="dxa" w:w="1728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Расход</w:t>
              <w:br/>
              <w:t>кг/с</w:t>
            </w:r>
          </w:p>
        </w:tc>
        <w:tc>
          <w:tcPr>
            <w:tcW w:type="dxa" w:w="2232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Выгорание от</w:t>
              <w:br/>
              <w:t>команды, с</w:t>
            </w:r>
          </w:p>
        </w:tc>
        <w:tc>
          <w:tcPr>
            <w:tcW w:type="dxa" w:w="2088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TWR после</w:t>
              <w:br/>
              <w:t>набора</w:t>
            </w:r>
          </w:p>
        </w:tc>
        <w:tc>
          <w:tcPr>
            <w:tcW w:type="dxa" w:w="2088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TWR перед</w:t>
              <w:br/>
              <w:t>выгоранием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40%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180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61,162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329,000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0,612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1,835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50%</w:t>
            </w:r>
          </w:p>
        </w:tc>
        <w:tc>
          <w:tcPr>
            <w:tcW w:type="dxa" w:w="1152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225</w:t>
            </w:r>
          </w:p>
        </w:tc>
        <w:tc>
          <w:tcPr>
            <w:tcW w:type="dxa" w:w="172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76,453</w:t>
            </w:r>
          </w:p>
        </w:tc>
        <w:tc>
          <w:tcPr>
            <w:tcW w:type="dxa" w:w="2232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263,600</w:t>
            </w:r>
          </w:p>
        </w:tc>
        <w:tc>
          <w:tcPr>
            <w:tcW w:type="dxa" w:w="208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0,766</w:t>
            </w:r>
          </w:p>
        </w:tc>
        <w:tc>
          <w:tcPr>
            <w:tcW w:type="dxa" w:w="208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2,294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60%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270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91,743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220,000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0,919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2,752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70%</w:t>
            </w:r>
          </w:p>
        </w:tc>
        <w:tc>
          <w:tcPr>
            <w:tcW w:type="dxa" w:w="1152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315</w:t>
            </w:r>
          </w:p>
        </w:tc>
        <w:tc>
          <w:tcPr>
            <w:tcW w:type="dxa" w:w="172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107,034</w:t>
            </w:r>
          </w:p>
        </w:tc>
        <w:tc>
          <w:tcPr>
            <w:tcW w:type="dxa" w:w="2232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188,857</w:t>
            </w:r>
          </w:p>
        </w:tc>
        <w:tc>
          <w:tcPr>
            <w:tcW w:type="dxa" w:w="208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1,072</w:t>
            </w:r>
          </w:p>
        </w:tc>
        <w:tc>
          <w:tcPr>
            <w:tcW w:type="dxa" w:w="208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3,211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80%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360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122,324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165,500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1,226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3,670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90%</w:t>
            </w:r>
          </w:p>
        </w:tc>
        <w:tc>
          <w:tcPr>
            <w:tcW w:type="dxa" w:w="1152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405</w:t>
            </w:r>
          </w:p>
        </w:tc>
        <w:tc>
          <w:tcPr>
            <w:tcW w:type="dxa" w:w="172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137,615</w:t>
            </w:r>
          </w:p>
        </w:tc>
        <w:tc>
          <w:tcPr>
            <w:tcW w:type="dxa" w:w="2232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147,333</w:t>
            </w:r>
          </w:p>
        </w:tc>
        <w:tc>
          <w:tcPr>
            <w:tcW w:type="dxa" w:w="208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1,379</w:t>
            </w:r>
          </w:p>
        </w:tc>
        <w:tc>
          <w:tcPr>
            <w:tcW w:type="dxa" w:w="208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4,128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1152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450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152,905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132,800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1,533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4,587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t>Это сравнение расхода полного запаса, а не последовательность манёвров. Для отрыва от площадки после набора тяги требуется TWR &gt; 1; при исходных 30 т это u &gt; 65,4%. Режимы ниже этой границы не обеспечивают немедленного взлёта.</w:t>
      </w:r>
    </w:p>
    <w:p>
      <w:pPr>
        <w:pStyle w:val="Caption"/>
      </w:pPr>
      <w:r>
        <w:t>Таблица 2. Посадочный участок с запасом 3000 кг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75" w:type="dxa"/>
          <w:right w:w="75" w:type="dxa"/>
        </w:tblCellMar>
      </w:tblPr>
      <w:tblGrid>
        <w:gridCol w:w="936"/>
        <w:gridCol w:w="1728"/>
        <w:gridCol w:w="1872"/>
        <w:gridCol w:w="2304"/>
        <w:gridCol w:w="1728"/>
        <w:gridCol w:w="1656"/>
      </w:tblGrid>
      <w:tr>
        <w:trPr>
          <w:tblHeader/>
        </w:trPr>
        <w:tc>
          <w:tcPr>
            <w:tcW w:type="dxa" w:w="936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Режим</w:t>
            </w:r>
          </w:p>
        </w:tc>
        <w:tc>
          <w:tcPr>
            <w:tcW w:type="dxa" w:w="1728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На набор</w:t>
              <w:br/>
              <w:t>тяги, кг</w:t>
            </w:r>
          </w:p>
        </w:tc>
        <w:tc>
          <w:tcPr>
            <w:tcW w:type="dxa" w:w="1872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Эквивалент</w:t>
              <w:br/>
              <w:t>работы, с</w:t>
            </w:r>
          </w:p>
        </w:tc>
        <w:tc>
          <w:tcPr>
            <w:tcW w:type="dxa" w:w="2304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Выгорание от</w:t>
              <w:br/>
              <w:t>команды, с</w:t>
            </w:r>
          </w:p>
        </w:tc>
        <w:tc>
          <w:tcPr>
            <w:tcW w:type="dxa" w:w="1728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TWR после</w:t>
              <w:br/>
              <w:t>набора</w:t>
            </w:r>
          </w:p>
        </w:tc>
        <w:tc>
          <w:tcPr>
            <w:tcW w:type="dxa" w:w="1656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TWR перед</w:t>
              <w:br/>
              <w:t>выгоранием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40%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30,581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49,050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51,050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1,415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1,835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50%</w:t>
            </w:r>
          </w:p>
        </w:tc>
        <w:tc>
          <w:tcPr>
            <w:tcW w:type="dxa" w:w="172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38,226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39,240</w:t>
            </w:r>
          </w:p>
        </w:tc>
        <w:tc>
          <w:tcPr>
            <w:tcW w:type="dxa" w:w="2304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41,240</w:t>
            </w:r>
          </w:p>
        </w:tc>
        <w:tc>
          <w:tcPr>
            <w:tcW w:type="dxa" w:w="172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1,769</w:t>
            </w:r>
          </w:p>
        </w:tc>
        <w:tc>
          <w:tcPr>
            <w:tcW w:type="dxa" w:w="165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2,294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60%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45,872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32,700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34,700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2,125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2,752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70%</w:t>
            </w:r>
          </w:p>
        </w:tc>
        <w:tc>
          <w:tcPr>
            <w:tcW w:type="dxa" w:w="172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53,517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28,029</w:t>
            </w:r>
          </w:p>
        </w:tc>
        <w:tc>
          <w:tcPr>
            <w:tcW w:type="dxa" w:w="2304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30,029</w:t>
            </w:r>
          </w:p>
        </w:tc>
        <w:tc>
          <w:tcPr>
            <w:tcW w:type="dxa" w:w="172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2,480</w:t>
            </w:r>
          </w:p>
        </w:tc>
        <w:tc>
          <w:tcPr>
            <w:tcW w:type="dxa" w:w="165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3,211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80%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61,162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24,525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26,525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2,836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3,670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90%</w:t>
            </w:r>
          </w:p>
        </w:tc>
        <w:tc>
          <w:tcPr>
            <w:tcW w:type="dxa" w:w="172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68,807</w:t>
            </w:r>
          </w:p>
        </w:tc>
        <w:tc>
          <w:tcPr>
            <w:tcW w:type="dxa" w:w="1872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21,800</w:t>
            </w:r>
          </w:p>
        </w:tc>
        <w:tc>
          <w:tcPr>
            <w:tcW w:type="dxa" w:w="2304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23,800</w:t>
            </w:r>
          </w:p>
        </w:tc>
        <w:tc>
          <w:tcPr>
            <w:tcW w:type="dxa" w:w="1728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3,193</w:t>
            </w:r>
          </w:p>
        </w:tc>
        <w:tc>
          <w:tcPr>
            <w:tcW w:type="dxa" w:w="165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4,128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100%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76,453</w:t>
            </w:r>
          </w:p>
        </w:tc>
        <w:tc>
          <w:tcPr>
            <w:tcW w:type="dxa" w:w="1872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19,620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21,620</w:t>
            </w:r>
          </w:p>
        </w:tc>
        <w:tc>
          <w:tcPr>
            <w:tcW w:type="dxa" w:w="1728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3,549</w:t>
            </w:r>
          </w:p>
        </w:tc>
        <w:tc>
          <w:tcPr>
            <w:tcW w:type="dxa" w:w="165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4,587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spacing w:before="60" w:after="140"/>
        <w:jc w:val="center"/>
      </w:pPr>
      <m:oMathPara>
        <m:oMathParaPr>
          <m:jc m:val="center"/>
        </m:oMathParaPr>
        <m:oMath>
          <m:sSub>
            <m:e>
              <m:r>
                <w:rPr>
                  <w:rFonts w:ascii="Cambria Math" w:hAnsi="Cambria Math"/>
                  <w:sz w:val="24"/>
                </w:rPr>
                <m:t xml:space="preserve"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end</m:t>
              </m:r>
            </m:sub>
          </m:sSub>
          <m:r>
            <w:rPr>
              <w:rFonts w:ascii="Cambria Math" w:hAnsi="Cambria Math"/>
              <w:sz w:val="24"/>
            </w:rPr>
            <m:t xml:space="preserve"> = 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τ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ign</m:t>
              </m:r>
            </m:sub>
          </m:sSub>
          <m:r>
            <w:rPr>
              <w:rFonts w:ascii="Cambria Math" w:hAnsi="Cambria Math"/>
              <w:sz w:val="24"/>
            </w:rPr>
            <m:t xml:space="preserve"> + </m:t>
          </m:r>
          <m:f>
            <m:num>
              <m:r>
                <w:rPr>
                  <w:rFonts w:ascii="Cambria Math" w:hAnsi="Cambria Math"/>
                  <w:sz w:val="24"/>
                </w:rPr>
                <m:t xml:space="preserve">P</m:t>
              </m:r>
            </m:num>
            <m:den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 xml:space="preserve">ss</m:t>
                  </m:r>
                </m:sub>
              </m:sSub>
            </m:den>
          </m:f>
          <m:r>
            <w:rPr>
              <w:rFonts w:ascii="Cambria Math" w:hAnsi="Cambria Math"/>
              <w:sz w:val="24"/>
            </w:rPr>
            <m:t xml:space="preserve"> + </m:t>
          </m:r>
          <m:f>
            <m:num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 xml:space="preserve">r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</w:rPr>
                <m:t xml:space="preserve">2</m:t>
              </m:r>
            </m:den>
          </m:f>
          <m:r>
            <w:rPr>
              <w:rFonts w:ascii="Cambria Math" w:hAnsi="Cambria Math"/>
              <w:sz w:val="24"/>
            </w:rPr>
            <m:t xml:space="preserve">;      P ≥ </m:t>
          </m:r>
          <m:f>
            <m:num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 xml:space="preserve">ss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 xml:space="preserve"> </m:t>
              </m:r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 xml:space="preserve">r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</w:rPr>
                <m:t xml:space="preserve">2</m:t>
              </m:r>
            </m:den>
          </m:f>
        </m:oMath>
      </m:oMathPara>
    </w:p>
    <w:p>
      <w:r>
        <w:t>На 100%: 3000/152,905199 = 19,62 с эквивалентной работы. Только задержка даёт 1,5 + 19,62 = 21,12 с; при плавном наборе за 1,0 с результат равен 21,62 с. Это время от команды, а не 21,62 с на полной тяге.</w:t>
      </w:r>
    </w:p>
    <w:p>
      <w:r>
        <w:t>За набор расходуется 76,453 кг, остаётся 2 923,547 кг. После выхода на режим работа на 100% продолжается 19,12 с. Время от появления тяги до выгорания — 20,12 с.</w:t>
      </w:r>
    </w:p>
    <w:p>
      <w:r>
        <w:t>Если топлива недостаточно даже на полный набор, применяется ветвь t_end = τ_ign + √(2·τ_r·P/q_ss). В приведённых таблицах весь набор обеспечен топливом.</w:t>
      </w:r>
    </w:p>
    <w:p>
      <w:pPr>
        <w:pStyle w:val="Heading1"/>
        <w:pageBreakBefore/>
      </w:pPr>
      <w:r>
        <w:t>4 Динамика посадочной массы и тяговооружённости</w:t>
      </w:r>
    </w:p>
    <w:p>
      <w:r>
        <w:t>Начало отсчёта — команда зажигания. В первые 1,5 с масса равна 13 000 кг и TWR = 0. Для компактности показаны четыре режима; сводка всех семи режимов приведена в таблице 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75" w:type="dxa"/>
          <w:right w:w="75" w:type="dxa"/>
        </w:tblCellMar>
      </w:tblPr>
      <w:tblGrid>
        <w:gridCol w:w="1123"/>
        <w:gridCol w:w="1296"/>
        <w:gridCol w:w="979"/>
        <w:gridCol w:w="1296"/>
        <w:gridCol w:w="979"/>
        <w:gridCol w:w="1296"/>
        <w:gridCol w:w="979"/>
        <w:gridCol w:w="1296"/>
        <w:gridCol w:w="979"/>
      </w:tblGrid>
      <w:tr>
        <w:trPr>
          <w:tblHeader/>
        </w:trPr>
        <w:tc>
          <w:tcPr>
            <w:tcW w:type="dxa" w:w="1123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t, с</w:t>
            </w:r>
          </w:p>
        </w:tc>
        <w:tc>
          <w:tcPr>
            <w:tcW w:type="dxa" w:w="1296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40%</w:t>
              <w:br/>
              <w:t>m, кг</w:t>
            </w:r>
          </w:p>
        </w:tc>
        <w:tc>
          <w:tcPr>
            <w:tcW w:type="dxa" w:w="979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40%</w:t>
              <w:br/>
              <w:t>TWR</w:t>
            </w:r>
          </w:p>
        </w:tc>
        <w:tc>
          <w:tcPr>
            <w:tcW w:type="dxa" w:w="1296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60%</w:t>
              <w:br/>
              <w:t>m, кг</w:t>
            </w:r>
          </w:p>
        </w:tc>
        <w:tc>
          <w:tcPr>
            <w:tcW w:type="dxa" w:w="979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60%</w:t>
              <w:br/>
              <w:t>TWR</w:t>
            </w:r>
          </w:p>
        </w:tc>
        <w:tc>
          <w:tcPr>
            <w:tcW w:type="dxa" w:w="1296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80%</w:t>
              <w:br/>
              <w:t>m, кг</w:t>
            </w:r>
          </w:p>
        </w:tc>
        <w:tc>
          <w:tcPr>
            <w:tcW w:type="dxa" w:w="979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80%</w:t>
              <w:br/>
              <w:t>TWR</w:t>
            </w:r>
          </w:p>
        </w:tc>
        <w:tc>
          <w:tcPr>
            <w:tcW w:type="dxa" w:w="1296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100%</w:t>
              <w:br/>
              <w:t>m, кг</w:t>
            </w:r>
          </w:p>
        </w:tc>
        <w:tc>
          <w:tcPr>
            <w:tcW w:type="dxa" w:w="979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100%</w:t>
              <w:br/>
              <w:t>TWR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13 000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13 000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13 000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13 000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29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13 000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  <w:tc>
          <w:tcPr>
            <w:tcW w:type="dxa" w:w="129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13 000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  <w:tc>
          <w:tcPr>
            <w:tcW w:type="dxa" w:w="129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13 000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  <w:tc>
          <w:tcPr>
            <w:tcW w:type="dxa" w:w="129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13 000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1,5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13 000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13 000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13 000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13 000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29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12 992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0,706</w:t>
            </w:r>
          </w:p>
        </w:tc>
        <w:tc>
          <w:tcPr>
            <w:tcW w:type="dxa" w:w="129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12 989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1,060</w:t>
            </w:r>
          </w:p>
        </w:tc>
        <w:tc>
          <w:tcPr>
            <w:tcW w:type="dxa" w:w="129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12 985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1,413</w:t>
            </w:r>
          </w:p>
        </w:tc>
        <w:tc>
          <w:tcPr>
            <w:tcW w:type="dxa" w:w="129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12 981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1,767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2,5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12 969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1,415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12 954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2,125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12 939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2,836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12 924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3,549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29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12 817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1,432</w:t>
            </w:r>
          </w:p>
        </w:tc>
        <w:tc>
          <w:tcPr>
            <w:tcW w:type="dxa" w:w="129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12 725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2,163</w:t>
            </w:r>
          </w:p>
        </w:tc>
        <w:tc>
          <w:tcPr>
            <w:tcW w:type="dxa" w:w="129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12 633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2,905</w:t>
            </w:r>
          </w:p>
        </w:tc>
        <w:tc>
          <w:tcPr>
            <w:tcW w:type="dxa" w:w="129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12 541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3,658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12 511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1,467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12 266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2,244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12 021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3,053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11 777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3,895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129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12 205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1,503</w:t>
            </w:r>
          </w:p>
        </w:tc>
        <w:tc>
          <w:tcPr>
            <w:tcW w:type="dxa" w:w="129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11 807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2,331</w:t>
            </w:r>
          </w:p>
        </w:tc>
        <w:tc>
          <w:tcPr>
            <w:tcW w:type="dxa" w:w="129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11 410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3,216</w:t>
            </w:r>
          </w:p>
        </w:tc>
        <w:tc>
          <w:tcPr>
            <w:tcW w:type="dxa" w:w="129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11 012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4,166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11 899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1,542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11 349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2,425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10 798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3,398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10 248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4,476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21,62</w:t>
            </w:r>
          </w:p>
        </w:tc>
        <w:tc>
          <w:tcPr>
            <w:tcW w:type="dxa" w:w="129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11 800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1,555</w:t>
            </w:r>
          </w:p>
        </w:tc>
        <w:tc>
          <w:tcPr>
            <w:tcW w:type="dxa" w:w="129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11 200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2,457</w:t>
            </w:r>
          </w:p>
        </w:tc>
        <w:tc>
          <w:tcPr>
            <w:tcW w:type="dxa" w:w="129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10 600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3,462</w:t>
            </w:r>
          </w:p>
        </w:tc>
        <w:tc>
          <w:tcPr>
            <w:tcW w:type="dxa" w:w="129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10 000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30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11 287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1,626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10 431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2,639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10 000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10 000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40</w:t>
            </w:r>
          </w:p>
        </w:tc>
        <w:tc>
          <w:tcPr>
            <w:tcW w:type="dxa" w:w="129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10 676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1,719</w:t>
            </w:r>
          </w:p>
        </w:tc>
        <w:tc>
          <w:tcPr>
            <w:tcW w:type="dxa" w:w="129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10 000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  <w:tc>
          <w:tcPr>
            <w:tcW w:type="dxa" w:w="129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10 000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  <w:tc>
          <w:tcPr>
            <w:tcW w:type="dxa" w:w="1296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10 000</w:t>
            </w:r>
          </w:p>
        </w:tc>
        <w:tc>
          <w:tcPr>
            <w:tcW w:type="dxa" w:w="979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51,05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10 000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10 000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10 000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  <w:tc>
          <w:tcPr>
            <w:tcW w:type="dxa" w:w="1296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10 000</w:t>
            </w:r>
          </w:p>
        </w:tc>
        <w:tc>
          <w:tcPr>
            <w:tcW w:type="dxa" w:w="979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0,000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73952" cy="2753428"/>
            <wp:docPr id="1" name="Picture 1" descr="Тяговооружённость 30-тонного VTVL на посадочном участке с остатком 3000 кг. Задержка без тяги 1,5 с, линейный набор 1 с, режимы 40, 60, 80 и 100 процентов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wr_3000k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3952" cy="2753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1. TWR при расходовании посадочного запаса. Пустой кружок — предел непосредственно перед выгоранием; нижняя точка — отсутствие тяги после него. Пунктирные вертикали обозначают исчерпание топлива, а не физическую кривую штатного выключения.</w:t>
      </w:r>
    </w:p>
    <w:p>
      <w:pPr>
        <w:pStyle w:val="Heading1"/>
        <w:pageBreakBefore/>
      </w:pPr>
      <w:r>
        <w:t>5 Пределы управления тягой и торможение</w:t>
      </w:r>
    </w:p>
    <w:p>
      <w:r>
        <w:t>В вертикальной модели положительное направление задано вверх, аэродинамика не учитывается. Тяговооружённость и ускорение:</w:t>
      </w:r>
    </w:p>
    <w:p>
      <w:pPr>
        <w:spacing w:before="60" w:after="14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 xml:space="preserve">TWR = </m:t>
          </m:r>
          <m:f>
            <m:num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 xml:space="preserve">факт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</w:rPr>
                <m:t xml:space="preserve">m g</m:t>
              </m:r>
            </m:den>
          </m:f>
          <m:r>
            <w:rPr>
              <w:rFonts w:ascii="Cambria Math" w:hAnsi="Cambria Math"/>
              <w:sz w:val="24"/>
            </w:rPr>
            <m:t xml:space="preserve">;      a = </m:t>
          </m:r>
          <m:f>
            <m:num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 xml:space="preserve">факт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</w:rPr>
                <m:t xml:space="preserve">m</m:t>
              </m:r>
            </m:den>
          </m:f>
          <m:r>
            <w:rPr>
              <w:rFonts w:ascii="Cambria Math" w:hAnsi="Cambria Math"/>
              <w:sz w:val="24"/>
            </w:rPr>
            <m:t xml:space="preserve"> − g = (TWR − 1) g</m:t>
          </m:r>
        </m:oMath>
      </m:oMathPara>
    </w:p>
    <w:p>
      <w:r>
        <w:t>При массе 13 000 кг установившиеся 100% дают TWR = 3,529 и ускорение вверх 24,81 м/с². На 40% получаются TWR = 1,411 и 4,04 м/с². Уменьшение массы усиливает торможение при той же тяге.</w:t>
      </w:r>
    </w:p>
    <w:p>
      <w:pPr>
        <w:spacing w:before="60" w:after="140"/>
        <w:jc w:val="center"/>
      </w:pPr>
      <m:oMathPara>
        <m:oMathParaPr>
          <m:jc m:val="center"/>
        </m:oMathParaPr>
        <m:oMath>
          <m:sSub>
            <m:e>
              <m:r>
                <w:rPr>
                  <w:rFonts w:ascii="Cambria Math" w:hAnsi="Cambria Math"/>
                  <w:sz w:val="24"/>
                </w:rPr>
                <m:t xml:space="preserve"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hover</m:t>
              </m:r>
            </m:sub>
          </m:sSub>
          <m:r>
            <w:rPr>
              <w:rFonts w:ascii="Cambria Math" w:hAnsi="Cambria Math"/>
              <w:sz w:val="24"/>
            </w:rPr>
            <m:t xml:space="preserve"> = </m:t>
          </m:r>
          <m:f>
            <m:num>
              <m:r>
                <w:rPr>
                  <w:rFonts w:ascii="Cambria Math" w:hAnsi="Cambria Math"/>
                  <w:sz w:val="24"/>
                </w:rPr>
                <m:t xml:space="preserve">m g</m:t>
              </m:r>
            </m:num>
            <m:den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 xml:space="preserve">max</m:t>
                  </m:r>
                </m:sub>
              </m:sSub>
            </m:den>
          </m:f>
          <m:r>
            <w:rPr>
              <w:rFonts w:ascii="Cambria Math" w:hAnsi="Cambria Math"/>
              <w:sz w:val="24"/>
            </w:rPr>
            <m:t xml:space="preserve">;      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hover</m:t>
              </m:r>
            </m:sub>
          </m:sSub>
          <m:r>
            <w:rPr>
              <w:rFonts w:ascii="Cambria Math" w:hAnsi="Cambria Math"/>
              <w:sz w:val="24"/>
            </w:rPr>
            <m:t xml:space="preserve">(13 000) = 0,2834 = 28,34%</m:t>
          </m:r>
        </m:oMath>
      </m:oMathPara>
    </w:p>
    <w:p>
      <w:r>
        <w:t>На всём посадочном участке тяга зависания составляет 21,8–28,34%, то есть ниже минимальных 40%. Пока ракета снижается, избыточная тяга тормозит её; после остановки начнётся движение вверх. Поэтому завершение посадки требует согласованного снижения скорости и выключения с учётом спада тяги.</w:t>
      </w:r>
    </w:p>
    <w:p>
      <w:pPr>
        <w:pStyle w:val="Heading2"/>
      </w:pPr>
      <w:r>
        <w:t>Рост TWR и пример ограничения</w:t>
      </w:r>
    </w:p>
    <w:p>
      <w:r>
        <w:t>На 100% TWR перед исчерпанием топлива достигает 4,587. Значение 4 пересекается через 12,02 с от команды. Если в модели отдельно устанавливают TWR ≤ 4, для установившейся тяги действует:</w:t>
      </w:r>
    </w:p>
    <w:p>
      <w:pPr>
        <w:spacing w:before="60" w:after="14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 xml:space="preserve">u ≤ min(1, </m:t>
          </m:r>
          <m:f>
            <m:num>
              <m:r>
                <w:rPr>
                  <w:rFonts w:ascii="Cambria Math" w:hAnsi="Cambria Math"/>
                  <w:sz w:val="24"/>
                </w:rPr>
                <m:t xml:space="preserve">4 m g</m:t>
              </m:r>
            </m:num>
            <m:den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 xml:space="preserve">max</m:t>
                  </m:r>
                </m:sub>
              </m:sSub>
            </m:den>
          </m:f>
          <m:r>
            <w:rPr>
              <w:rFonts w:ascii="Cambria Math" w:hAnsi="Cambria Math"/>
              <w:sz w:val="24"/>
            </w:rPr>
            <m:t xml:space="preserve">);      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const</m:t>
              </m:r>
            </m:sub>
          </m:sSub>
          <m:r>
            <w:rPr>
              <w:rFonts w:ascii="Cambria Math" w:hAnsi="Cambria Math"/>
              <w:sz w:val="24"/>
            </w:rPr>
            <m:t xml:space="preserve"> ≤ </m:t>
          </m:r>
          <m:f>
            <m:num>
              <m:r>
                <w:rPr>
                  <w:rFonts w:ascii="Cambria Math" w:hAnsi="Cambria Math"/>
                  <w:sz w:val="24"/>
                </w:rPr>
                <m:t xml:space="preserve">4 </m:t>
              </m:r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 xml:space="preserve">dry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 xml:space="preserve"> g</m:t>
              </m:r>
            </m:num>
            <m:den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 xml:space="preserve">max</m:t>
                  </m:r>
                </m:sub>
              </m:sSub>
            </m:den>
          </m:f>
          <m:r>
            <w:rPr>
              <w:rFonts w:ascii="Cambria Math" w:hAnsi="Cambria Math"/>
              <w:sz w:val="24"/>
            </w:rPr>
            <m:t xml:space="preserve"> = 0,872</m:t>
          </m:r>
        </m:oMath>
      </m:oMathPara>
    </w:p>
    <w:p>
      <w:r>
        <w:t>Постоянные 87,2% соблюдают такой предел вплоть до сухой массы; запас выгорает через 24,50 с от команды. Ограничение TWR = 4 здесь является примером настройки. Перегрузка от удара опор о палубу рассчитывается отдельно и не равна автоматически TWR.</w:t>
      </w:r>
    </w:p>
    <w:p>
      <w:pPr>
        <w:pStyle w:val="Heading2"/>
      </w:pPr>
      <w:r>
        <w:t>Проверка по формуле Циолковского</w:t>
      </w:r>
    </w:p>
    <w:p>
      <w:pPr>
        <w:spacing w:before="60" w:after="140"/>
        <w:jc w:val="center"/>
      </w:pPr>
      <m:oMathPara>
        <m:oMathParaPr>
          <m:jc m:val="center"/>
        </m:oMathParaPr>
        <m:oMath>
          <m:sSub>
            <m:e>
              <m:r>
                <w:rPr>
                  <w:rFonts w:ascii="Cambria Math" w:hAnsi="Cambria Math"/>
                  <w:sz w:val="24"/>
                </w:rPr>
                <m:t xml:space="preserve">Δv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ideal</m:t>
              </m:r>
            </m:sub>
          </m:sSub>
          <m:r>
            <w:rPr>
              <w:rFonts w:ascii="Cambria Math" w:hAnsi="Cambria Math"/>
              <w:sz w:val="24"/>
            </w:rPr>
            <m:t xml:space="preserve"> = 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sp</m:t>
              </m:r>
            </m:sub>
          </m:sSub>
          <m:r>
            <w:rPr>
              <w:rFonts w:ascii="Cambria Math" w:hAnsi="Cambria Math"/>
              <w:sz w:val="24"/>
            </w:rPr>
            <m:t xml:space="preserve"> 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g</m:t>
              </m:r>
            </m:e>
            <m:sub>
              <m:r>
                <w:rPr>
                  <w:rFonts w:ascii="Cambria Math" w:hAnsi="Cambria Math"/>
                  <w:sz w:val="24"/>
                </w:rPr>
                <m:t xml:space="preserve">0</m:t>
              </m:r>
            </m:sub>
          </m:sSub>
          <m:r>
            <w:rPr>
              <w:rFonts w:ascii="Cambria Math" w:hAnsi="Cambria Math"/>
              <w:sz w:val="24"/>
            </w:rPr>
            <m:t xml:space="preserve"> ln(</m:t>
          </m:r>
          <m:f>
            <m:num>
              <m:r>
                <w:rPr>
                  <w:rFonts w:ascii="Cambria Math" w:hAnsi="Cambria Math"/>
                  <w:sz w:val="24"/>
                </w:rPr>
                <m:t xml:space="preserve">13 000</m:t>
              </m:r>
            </m:num>
            <m:den>
              <m:r>
                <w:rPr>
                  <w:rFonts w:ascii="Cambria Math" w:hAnsi="Cambria Math"/>
                  <w:sz w:val="24"/>
                </w:rPr>
                <m:t xml:space="preserve">10 000</m:t>
              </m:r>
            </m:den>
          </m:f>
          <m:r>
            <w:rPr>
              <w:rFonts w:ascii="Cambria Math" w:hAnsi="Cambria Math"/>
              <w:sz w:val="24"/>
            </w:rPr>
            <m:t xml:space="preserve">) = </m:t>
          </m:r>
          <m:r>
            <w:rPr>
              <w:rFonts w:ascii="Cambria Math" w:hAnsi="Cambria Math"/>
              <w:sz w:val="24"/>
            </w:rPr>
            <m:t xml:space="preserve">772,14</m:t>
          </m:r>
          <m:r>
            <w:rPr>
              <w:rFonts w:ascii="Cambria Math" w:hAnsi="Cambria Math"/>
              <w:sz w:val="24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4"/>
            </w:rPr>
            <m:t xml:space="preserve">м/с</m:t>
          </m:r>
        </m:oMath>
      </m:oMathPara>
    </w:p>
    <w:p>
      <w:r>
        <w:t>При расходовании всего запаса вертикальное изменение скорости от команды до выгорания равно Δv = Δv_ideal − g·t_end [2]. Для 100% и задержки 1,5 с чувствительность к длительности набора составляет: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75" w:type="dxa"/>
          <w:right w:w="75" w:type="dxa"/>
        </w:tblCellMar>
      </w:tblPr>
      <w:tblGrid>
        <w:gridCol w:w="2160"/>
        <w:gridCol w:w="4032"/>
        <w:gridCol w:w="4032"/>
      </w:tblGrid>
      <w:tr>
        <w:trPr>
          <w:tblHeader/>
        </w:trPr>
        <w:tc>
          <w:tcPr>
            <w:tcW w:type="dxa" w:w="2160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Набор τ_r, с</w:t>
            </w:r>
          </w:p>
        </w:tc>
        <w:tc>
          <w:tcPr>
            <w:tcW w:type="dxa" w:w="4032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Выгорание от команды, с</w:t>
            </w:r>
          </w:p>
        </w:tc>
        <w:tc>
          <w:tcPr>
            <w:tcW w:type="dxa" w:w="4032"/>
            <w:vAlign w:val="center"/>
            <w:shd w:fill="33465A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/>
                <w:color w:val="FFFFFF"/>
                <w:sz w:val="18"/>
              </w:rPr>
              <w:t>Δv с тяжестью, м/с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0,5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21,37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562,50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1,0</w:t>
            </w:r>
          </w:p>
        </w:tc>
        <w:tc>
          <w:tcPr>
            <w:tcW w:type="dxa" w:w="4032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21,62</w:t>
            </w:r>
          </w:p>
        </w:tc>
        <w:tc>
          <w:tcPr>
            <w:tcW w:type="dxa" w:w="4032"/>
            <w:vAlign w:val="center"/>
            <w:shd w:fill="F2F5F8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560,05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1,5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21,87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0" w:before="0" w:line="257" w:lineRule="auto"/>
              <w:jc w:val="center"/>
            </w:pPr>
            <w:r/>
            <w:r>
              <w:rPr>
                <w:rFonts w:ascii="DejaVu Sans" w:hAnsi="DejaVu Sans"/>
                <w:b w:val="0"/>
                <w:color w:val="000000"/>
                <w:sz w:val="18"/>
              </w:rPr>
              <w:t>557,59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t>За одну только задержку скорость падения возрастает на 14,715 м/с, а потеря высоты равна |v₀|·1,5 + 11,036 м. Начальные высота и скорость определяют момент запуска; времени горения самого по себе недостаточно для подтверждения безопасного касания.</w:t>
      </w:r>
    </w:p>
    <w:p>
      <w:pPr>
        <w:pStyle w:val="Heading1"/>
        <w:pageBreakBefore/>
      </w:pPr>
      <w:r>
        <w:t>6 Контроль массы и согласование с баллистикой</w:t>
      </w:r>
    </w:p>
    <w:p>
      <w:pPr>
        <w:pStyle w:val="Heading2"/>
      </w:pPr>
      <w:r>
        <w:t>Ограничение расхода на каждом шаге</w:t>
      </w:r>
    </w:p>
    <w:p>
      <w:pPr>
        <w:spacing w:before="60" w:after="14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</w:rPr>
            <m:t xml:space="preserve">Δ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m</m:t>
              </m:r>
            </m:e>
            <m:sub>
              <m:r>
                <w:rPr>
                  <w:rFonts w:ascii="Cambria Math" w:hAnsi="Cambria Math"/>
                  <w:sz w:val="24"/>
                </w:rPr>
                <m:t xml:space="preserve">k</m:t>
              </m:r>
            </m:sub>
          </m:sSub>
          <m:r>
            <w:rPr>
              <w:rFonts w:ascii="Cambria Math" w:hAnsi="Cambria Math"/>
              <w:sz w:val="24"/>
            </w:rPr>
            <m:t xml:space="preserve"> = min(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m</m:t>
              </m:r>
            </m:e>
            <m:sub>
              <m:r>
                <w:rPr>
                  <w:rFonts w:ascii="Cambria Math" w:hAnsi="Cambria Math"/>
                  <w:sz w:val="24"/>
                </w:rPr>
                <m:t xml:space="preserve">k</m:t>
              </m:r>
            </m:sub>
          </m:sSub>
          <m:r>
            <w:rPr>
              <w:rFonts w:ascii="Cambria Math" w:hAnsi="Cambria Math"/>
              <w:sz w:val="24"/>
            </w:rPr>
            <m:t xml:space="preserve"> − 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dry</m:t>
              </m:r>
            </m:sub>
          </m:sSub>
          <m:r>
            <w:rPr>
              <w:rFonts w:ascii="Cambria Math" w:hAnsi="Cambria Math"/>
              <w:sz w:val="24"/>
            </w:rPr>
            <m:t xml:space="preserve">, </m:t>
          </m:r>
          <m:f>
            <m:num>
              <m:r>
                <w:rPr>
                  <w:rFonts w:ascii="Cambria Math" w:hAnsi="Cambria Math"/>
                  <w:sz w:val="24"/>
                </w:rPr>
                <m:t xml:space="preserve">1</m:t>
              </m:r>
            </m:num>
            <m:den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 xml:space="preserve">sp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 xml:space="preserve"> </m:t>
              </m:r>
              <m:sSub>
                <m:e>
                  <m:r>
                    <w:rPr>
                      <w:rFonts w:ascii="Cambria Math" w:hAnsi="Cambria Math"/>
                      <w:sz w:val="24"/>
                    </w:rPr>
                    <m:t xml:space="preserve">g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 xml:space="preserve">0</m:t>
                  </m:r>
                </m:sub>
              </m:sSub>
            </m:den>
          </m:f>
          <m:r>
            <w:rPr>
              <w:rFonts w:ascii="Cambria Math" w:hAnsi="Cambria Math"/>
              <w:sz w:val="24"/>
            </w:rPr>
            <m:t xml:space="preserve"> ∫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факт</m:t>
              </m:r>
            </m:sub>
          </m:sSub>
          <m:r>
            <w:rPr>
              <w:rFonts w:ascii="Cambria Math" w:hAnsi="Cambria Math"/>
              <w:sz w:val="24"/>
            </w:rPr>
            <m:t xml:space="preserve">(t) dt)</m:t>
          </m:r>
        </m:oMath>
      </m:oMathPara>
    </w:p>
    <w:p>
      <w:pPr>
        <w:spacing w:before="60" w:after="140"/>
        <w:jc w:val="center"/>
      </w:pPr>
      <m:oMathPara>
        <m:oMathParaPr>
          <m:jc m:val="center"/>
        </m:oMathParaPr>
        <m:oMath>
          <m:sSub>
            <m:e>
              <m:r>
                <w:rPr>
                  <w:rFonts w:ascii="Cambria Math" w:hAnsi="Cambria Math"/>
                  <w:sz w:val="24"/>
                </w:rPr>
                <m:t xml:space="preserve">m</m:t>
              </m:r>
            </m:e>
            <m:sub>
              <m:r>
                <w:rPr>
                  <w:rFonts w:ascii="Cambria Math" w:hAnsi="Cambria Math"/>
                  <w:sz w:val="24"/>
                </w:rPr>
                <m:t xml:space="preserve">k+1</m:t>
              </m:r>
            </m:sub>
          </m:sSub>
          <m:r>
            <w:rPr>
              <w:rFonts w:ascii="Cambria Math" w:hAnsi="Cambria Math"/>
              <w:sz w:val="24"/>
            </w:rPr>
            <m:t xml:space="preserve"> = 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m</m:t>
              </m:r>
            </m:e>
            <m:sub>
              <m:r>
                <w:rPr>
                  <w:rFonts w:ascii="Cambria Math" w:hAnsi="Cambria Math"/>
                  <w:sz w:val="24"/>
                </w:rPr>
                <m:t xml:space="preserve">k</m:t>
              </m:r>
            </m:sub>
          </m:sSub>
          <m:r>
            <w:rPr>
              <w:rFonts w:ascii="Cambria Math" w:hAnsi="Cambria Math"/>
              <w:sz w:val="24"/>
            </w:rPr>
            <m:t xml:space="preserve"> − Δ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m</m:t>
              </m:r>
            </m:e>
            <m:sub>
              <m:r>
                <w:rPr>
                  <w:rFonts w:ascii="Cambria Math" w:hAnsi="Cambria Math"/>
                  <w:sz w:val="24"/>
                </w:rPr>
                <m:t xml:space="preserve">k</m:t>
              </m:r>
            </m:sub>
          </m:sSub>
          <m:r>
            <w:rPr>
              <w:rFonts w:ascii="Cambria Math" w:hAnsi="Cambria Math"/>
              <w:sz w:val="24"/>
            </w:rPr>
            <m:t xml:space="preserve"> ≥ 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dry</m:t>
              </m:r>
            </m:sub>
          </m:sSub>
        </m:oMath>
      </m:oMathPara>
    </w:p>
    <w:p>
      <w:r>
        <w:t>Интеграл берётся по текущему шагу. Для выбранной пусковой кривой расход до ограничения точно равен q_ss·[S(t_next) − S(t_prev)]. Пусковые потери q_aux, если они заданы, включаются в интеграл расхода до ограничения остатком.</w:t>
      </w:r>
    </w:p>
    <w:p>
      <w:r>
        <w:t>Если запас исчерпан внутри шага, определяется точный момент выгорания; остаток шага проходит без тяги и расхода. На 100% этот момент равен 21,62 с: продолжать тягу до 22 с нельзя. Для интегратора пригоден шаг 0,01 с с отдельной обработкой событий запуска, выхода на режим и выгорания.</w:t>
      </w:r>
    </w:p>
    <w:p>
      <w:pPr>
        <w:pStyle w:val="Heading2"/>
      </w:pPr>
      <w:r>
        <w:t>Единый бюджет с КР 4 и КР 5</w:t>
      </w:r>
    </w:p>
    <w:p>
      <w:pPr>
        <w:spacing w:before="60" w:after="140"/>
        <w:jc w:val="center"/>
      </w:pPr>
      <m:oMathPara>
        <m:oMathParaPr>
          <m:jc m:val="center"/>
        </m:oMathParaPr>
        <m:oMath>
          <m:sSub>
            <m:e>
              <m:r>
                <w:rPr>
                  <w:rFonts w:ascii="Cambria Math" w:hAnsi="Cambria Math"/>
                  <w:sz w:val="24"/>
                </w:rPr>
                <m:t xml:space="preserve">Δv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до посадки</m:t>
              </m:r>
            </m:sub>
          </m:sSub>
          <m:r>
            <w:rPr>
              <w:rFonts w:ascii="Cambria Math" w:hAnsi="Cambria Math"/>
              <w:sz w:val="24"/>
            </w:rPr>
            <m:t xml:space="preserve"> ≤ 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sp</m:t>
              </m:r>
            </m:sub>
          </m:sSub>
          <m:r>
            <w:rPr>
              <w:rFonts w:ascii="Cambria Math" w:hAnsi="Cambria Math"/>
              <w:sz w:val="24"/>
            </w:rPr>
            <m:t xml:space="preserve"> </m:t>
          </m:r>
          <m:sSub>
            <m:e>
              <m:r>
                <w:rPr>
                  <w:rFonts w:ascii="Cambria Math" w:hAnsi="Cambria Math"/>
                  <w:sz w:val="24"/>
                </w:rPr>
                <m:t xml:space="preserve">g</m:t>
              </m:r>
            </m:e>
            <m:sub>
              <m:r>
                <w:rPr>
                  <w:rFonts w:ascii="Cambria Math" w:hAnsi="Cambria Math"/>
                  <w:sz w:val="24"/>
                </w:rPr>
                <m:t xml:space="preserve">0</m:t>
              </m:r>
            </m:sub>
          </m:sSub>
          <m:r>
            <w:rPr>
              <w:rFonts w:ascii="Cambria Math" w:hAnsi="Cambria Math"/>
              <w:sz w:val="24"/>
            </w:rPr>
            <m:t xml:space="preserve"> ln(</m:t>
          </m:r>
          <m:f>
            <m:num>
              <m:r>
                <w:rPr>
                  <w:rFonts w:ascii="Cambria Math" w:hAnsi="Cambria Math"/>
                  <w:sz w:val="24"/>
                </w:rPr>
                <m:t xml:space="preserve">30 000</m:t>
              </m:r>
            </m:num>
            <m:den>
              <m:r>
                <w:rPr>
                  <w:rFonts w:ascii="Cambria Math" w:hAnsi="Cambria Math"/>
                  <w:sz w:val="24"/>
                </w:rPr>
                <m:t xml:space="preserve">13 000</m:t>
              </m:r>
            </m:den>
          </m:f>
          <m:r>
            <w:rPr>
              <w:rFonts w:ascii="Cambria Math" w:hAnsi="Cambria Math"/>
              <w:sz w:val="24"/>
            </w:rPr>
            <m:t xml:space="preserve">) = </m:t>
          </m:r>
          <m:r>
            <w:rPr>
              <w:rFonts w:ascii="Cambria Math" w:hAnsi="Cambria Math"/>
              <w:sz w:val="24"/>
            </w:rPr>
            <m:t xml:space="preserve">2 461,08</m:t>
          </m:r>
          <m:r>
            <w:rPr>
              <w:rFonts w:ascii="Cambria Math" w:hAnsi="Cambria Math"/>
              <w:sz w:val="24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4"/>
            </w:rPr>
            <m:t xml:space="preserve">м/с</m:t>
          </m:r>
        </m:oMath>
      </m:oMathPara>
    </w:p>
    <w:p>
      <w:r>
        <w:t>Это идеальный суммарный бюджет всех предшествующих двигательных участков при сохранении 3000 кг. Скорость MECO около 993 м/с, угол отсечки около 85,5° и дальность 25,27 км из постановки КР 4 являются целями траектории. Сами по себе они не доказывают остаток: КР 4 должен передать фактические массу, топливо, высоту и скорость на входе посадочного участка.</w:t>
      </w:r>
    </w:p>
    <w:p>
      <w:r>
        <w:t>Таблицы атмосферы и скорости звука используются баллистиками для сопротивления и числа Маха. В закон расхода при заданных T и I_sp они напрямую не входят. В этом расчёте используется g₀ = 9,81 м/с² по заданию; в атмосферном файле записано 9,80665 м/с², что при объединении кода следует привести к одной конвенции.</w:t>
      </w:r>
    </w:p>
    <w:p>
      <w:pPr>
        <w:pStyle w:val="Heading2"/>
      </w:pPr>
      <w:r>
        <w:t>Проверка касания и состав передаваемых данных</w:t>
      </w:r>
    </w:p>
    <w:p>
      <w:r>
        <w:t>В режиме Normal из «КРИТЕРИИ ПОСАДКИ.docx» указаны |v_y| ≤ 2 м/с, |v_x| ≤ 0,5 м/с и наклон ≤ 5°. Для посадки на баржу скорости проверяются относительно палубы. Эти критерии дополняются моделью опор: ход 1,2 м задан в переписке, а жёсткость, демпфирование и геометрия опор должны поступить от ответственного расчётчика.</w:t>
      </w:r>
    </w:p>
    <w:p>
      <w:r>
        <w:t>КР 5 получает m(t), T_факт(t), TWR(t), расход и параметры запуска; ИТ 1 — те же зависимости и обработку событий. В расчёт удара передаётся фактическая масса при касании: 10 000 кг плюс оставшееся топливо, а не всегда сухая масса.</w:t>
      </w:r>
    </w:p>
    <w:p>
      <w:pPr>
        <w:pStyle w:val="Heading2"/>
      </w:pPr>
      <w:r>
        <w:t>Результат проверки</w:t>
      </w:r>
    </w:p>
    <w:p>
      <w:r>
        <w:t>Таблицы и график рассчитаны из одного набора исходных данных. Интеграл расхода равен израсходованному топливу; масса во всех семи режимах не падает ниже 10 000 кг. Для 3000 кг получено 19,62–49,05 с эквивалентной работы и 21,62–51,05 с от команды при принятом наборе за 1,0 с. Итог относится к запасу и тяге; успешное касание проверяется по траектории и работе опор.</w:t>
      </w:r>
    </w:p>
    <w:p>
      <w:pPr>
        <w:pStyle w:val="Heading2"/>
      </w:pPr>
      <w:r>
        <w:t>Источники формул</w:t>
      </w:r>
    </w:p>
    <w:p>
      <w:pPr>
        <w:spacing w:after="60"/>
      </w:pPr>
      <w:hyperlink r:id="rId11">
        <w:r>
          <w:rPr>
            <w:color w:val="255980"/>
            <w:sz w:val="19"/>
          </w:rPr>
          <w:t>[1] NASA Glenn — Specific Impulse</w:t>
        </w:r>
      </w:hyperlink>
    </w:p>
    <w:p>
      <w:pPr>
        <w:spacing w:after="60"/>
      </w:pPr>
      <w:hyperlink r:id="rId13">
        <w:r>
          <w:rPr>
            <w:color w:val="255980"/>
            <w:sz w:val="19"/>
          </w:rPr>
          <w:t>[2] NASA Glenn — Ideal Rocket Equation</w:t>
        </w:r>
      </w:hyperlink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DejaVu Sans" w:hAnsi="DejaVu Sans"/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6" w:lineRule="auto" w:after="110"/>
    </w:pPr>
    <w:rPr>
      <w:rFonts w:ascii="DejaVu Sans" w:hAnsi="DejaVu Sans" w:eastAsia="DejaVu San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0" w:lineRule="auto" w:before="0"/>
      <w:contextualSpacing/>
    </w:pPr>
    <w:rPr>
      <w:rFonts w:asciiTheme="majorHAnsi" w:eastAsiaTheme="majorEastAsia" w:hAnsiTheme="majorHAnsi" w:cstheme="majorBidi" w:ascii="DejaVu Sans" w:hAnsi="DejaVu Sans" w:eastAsia="DejaVu Sans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20"/>
    </w:pPr>
    <w:rPr>
      <w:rFonts w:asciiTheme="majorHAnsi" w:eastAsiaTheme="majorEastAsia" w:hAnsiTheme="majorHAnsi" w:cstheme="majorBidi" w:ascii="DejaVu Sans" w:hAnsi="DejaVu Sans" w:eastAsia="DejaVu Sans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120"/>
    </w:pPr>
    <w:rPr>
      <w:rFonts w:ascii="DejaVu Sans" w:hAnsi="DejaVu Sans" w:eastAsia="DejaVu Sans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www.grc.nasa.gov/www/BGH/specimp.html" TargetMode="External"/><Relationship Id="rId12" Type="http://schemas.openxmlformats.org/officeDocument/2006/relationships/hyperlink" Target="https://www1.grc.nasa.gov/beginners-guide-to-aeronautics/thrust-to-weight-ratio/" TargetMode="External"/><Relationship Id="rId13" Type="http://schemas.openxmlformats.org/officeDocument/2006/relationships/hyperlink" Target="https://www1.grc.nasa.gov/beginners-guide-to-aeronautics/ideal-rocket-equation/" TargetMode="External"/><Relationship Id="rId14" Type="http://schemas.openxmlformats.org/officeDocument/2006/relationships/image" Target="media/image2.png"/><Relationship Id="rId15" Type="http://schemas.openxmlformats.org/officeDocument/2006/relationships/hyperlink" Target="https://ntrs.nasa.gov/citations/19710014805" TargetMode="External"/><Relationship Id="rId16" Type="http://schemas.openxmlformats.org/officeDocument/2006/relationships/hyperlink" Target="https://arxiv.org/abs/1907.04273" TargetMode="External"/><Relationship Id="rId17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Расчёт массового баланса и тяговооружённости ракеты</dc:title>
  <dc:subject>КР 3 VTVL 30 т сухая 10 т тяга 450 кН посадочный запас 3000 кг задержка 1,5 с</dc:subject>
  <dc:creator/>
  <cp:keywords>КР-3, массовый баланс, расход топлива, TWR, дросселирование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