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Математическая модель посадки ракеты VTVL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https://gemini.google.com/app/d55af5ca34723faf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Замечания: Заданы 14 ОДУ, но нет моментов инерции J^x ;J^y ;J^z и геометрия 30 тонной ракеты.Ошибки: Деление на ноль в тангенсе 90 ∘, ошибка в формуле корня.Коллеги, за основу физического ядра принимаем 30-тонный возвращаемый прототип VTVL (по генеральному паспорту КР-1 и расчётам КР-3, класс SpaceX Grasshopper). Полноразмерный Falcon 9 на 549 тонн в симуляторе посадки одной ступенью использовать физически некорректно без моделирования отделения второй ступени. ИСС-1, зафиксируй в паспорте габариты для нашей 30-тонной ракеты: диаметр D = 1.8 м, высота L = 22 м, площадь сечения S = 2.55 Конфликт: Сдал данные на Falcon 9, а конструкторы посчитали 30-тонную ракету.м²Конфликт: Сдал данные на Falcon 9, а конструкторы посчитали 30-тонную ракету.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Response: 1. Разрешение межкомандного конфликта: Falcon 9 (549 т) vs. прототип VTVL (30 т)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Суть конфликта:</w:t>
      </w:r>
      <w:r w:rsidDel="00000000" w:rsidR="00000000" w:rsidRPr="00000000">
        <w:rPr>
          <w:rtl w:val="0"/>
        </w:rPr>
        <w:t xml:space="preserve"> В проект поступил «Паспорт ракеты» с характеристиками двухступенчатой ракеты Falcon 9 Block 5 (стартовая масса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≈549 т, длина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=70 м, диаметр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=3,7 м, тяга связки 9 двигателей на уровне моря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≈7605 кН), в то время как базовая математическая модель (КР-1) и расчеты массового баланса (КР-3) были построены для 30-тонного аппарата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=30000 кг,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max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=450 кН,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sp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=300 с).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Физическая некорректность использования параметров Falcon 9:</w:t>
      </w:r>
      <w:r w:rsidDel="00000000" w:rsidR="00000000" w:rsidRPr="00000000">
        <w:rPr>
          <w:rtl w:val="0"/>
        </w:rPr>
        <w:t xml:space="preserve"> Полноразмерный Falcon 9 стартовой массой 549 т является двухступенчатым носителем. Моделирование посадки единой ступенью без реализации алгоритмов разделения ступеней, сброса второй ступени и учета возвращения исключительно первой ступени (масса которой на посадке составляет порядка 25–30 т) физически недопустимо и полностью разрушает динамику уравнений Мещерского.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Решение системного согласования:</w:t>
      </w:r>
      <w:r w:rsidDel="00000000" w:rsidR="00000000" w:rsidRPr="00000000">
        <w:rPr>
          <w:rtl w:val="0"/>
        </w:rPr>
        <w:t xml:space="preserve"> Параметры двухступенчатого Falcon 9 на 549 тонн официально исключаются из расчетного ядра симулятора посадки. За единую основу математического ядра 6-DOF принимается </w:t>
      </w:r>
      <w:r w:rsidDel="00000000" w:rsidR="00000000" w:rsidRPr="00000000">
        <w:rPr>
          <w:b w:val="1"/>
          <w:bCs w:val="1"/>
          <w:rtl w:val="0"/>
        </w:rPr>
        <w:t xml:space="preserve">30-тонный возвращаемый прототип вертикального взлета и посадки (VTVL)</w:t>
      </w:r>
      <w:r w:rsidDel="00000000" w:rsidR="00000000" w:rsidRPr="00000000">
        <w:rPr>
          <w:rtl w:val="0"/>
        </w:rPr>
        <w:t xml:space="preserve"> класса </w:t>
      </w:r>
      <w:r w:rsidDel="00000000" w:rsidR="00000000" w:rsidRPr="00000000">
        <w:rPr>
          <w:i w:val="1"/>
          <w:iCs w:val="1"/>
          <w:rtl w:val="0"/>
        </w:rPr>
        <w:t xml:space="preserve">SpaceX Grasshopper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Фиксация геометрии и массово-инерционных характеристик (ИСС-1)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 паспорте проекта и модуле PhysicsEngine окончательно зафиксированы конструктивные параметры 30-тонного возвращаемого аппарата: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Геометрические параметры корпуса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Калибр (внешний диаметр корпуса):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=1,80 м (радиус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=0,90 м).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Полная высота (длина корпуса):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=22,00 м.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Площадь миделевого (лобового) сечения: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мид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D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2​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π</w:t>
      </w:r>
      <w:r w:rsidDel="00000000" w:rsidR="00000000" w:rsidRPr="00000000">
        <w:rPr>
          <w:rtl w:val="0"/>
        </w:rPr>
        <w:t xml:space="preserve">⋅(0,90)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≈2,5447 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≈2,55 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Аэродинамическое удлинение корпуса: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λ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DL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1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,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822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,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≈12,22.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2.2. Аналитическая модель тензора инерции для системы 14 ОДУ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 связанной с корпусом системе координат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OXYZ</w:t>
      </w:r>
      <w:r w:rsidDel="00000000" w:rsidR="00000000" w:rsidRPr="00000000">
        <w:rPr>
          <w:rtl w:val="0"/>
        </w:rPr>
        <w:t xml:space="preserve"> (где ось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OX</w:t>
      </w:r>
      <w:r w:rsidDel="00000000" w:rsidR="00000000" w:rsidRPr="00000000">
        <w:rPr>
          <w:rtl w:val="0"/>
        </w:rPr>
        <w:t xml:space="preserve"> направлена вдоль продольной строительной оси к головной части, а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OZ</w:t>
      </w:r>
      <w:r w:rsidDel="00000000" w:rsidR="00000000" w:rsidRPr="00000000">
        <w:rPr>
          <w:rtl w:val="0"/>
        </w:rPr>
        <w:t xml:space="preserve"> лежат в плоскостях поперечной симметрии) тензор инерции диагонален. В силу осесимметричности ракеты поперечные моменты инерции равны: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Для непрерывного пересчета моментов инерции по текущей массе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в интеграторе Рунге-Кутты (RK4) применяется модель эквивалентного цилиндра: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Продольный момент инерции (крен / roll):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vertAlign w:val="baseline"/>
          <w:rtl w:val="0"/>
        </w:rPr>
        <w:t xml:space="preserve">21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Экваториальные моменты инерции (тангаж и рыскание / pitch, yaw):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vertAlign w:val="baseline"/>
          <w:rtl w:val="0"/>
        </w:rPr>
        <w:t xml:space="preserve">121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Подставляя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=0,9 м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=0,81 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) 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=22,0 м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=484 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), получаем константу распределения для поперечных осей: 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123⋅0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,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81+484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12486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,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43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≈40,536 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Таблица опорных значений тензора инерции симулятора: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Стартовое состояние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m</w:t>
      </w:r>
      <w:r w:rsidDel="00000000" w:rsidR="00000000" w:rsidRPr="00000000">
        <w:rPr>
          <w:b w:val="1"/>
          <w:bCs w:val="1"/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=30000 кг):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=12150 кг⋅м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=1216075 кг⋅м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≈1,216⋅10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6</w:t>
      </w:r>
      <w:r w:rsidDel="00000000" w:rsidR="00000000" w:rsidRPr="00000000">
        <w:rPr>
          <w:rtl w:val="0"/>
        </w:rPr>
        <w:t xml:space="preserve"> кг⋅м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Посадочное состояние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m</w:t>
      </w:r>
      <w:r w:rsidDel="00000000" w:rsidR="00000000" w:rsidRPr="00000000">
        <w:rPr>
          <w:b w:val="1"/>
          <w:bCs w:val="1"/>
          <w:sz w:val="6"/>
          <w:szCs w:val="6"/>
          <w:vertAlign w:val="baseline"/>
          <w:rtl w:val="0"/>
        </w:rPr>
        <w:t xml:space="preserve">посад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=12000 кг):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=4860 кг⋅м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=486430 кг⋅м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≈4,864⋅10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5</w:t>
      </w:r>
      <w:r w:rsidDel="00000000" w:rsidR="00000000" w:rsidRPr="00000000">
        <w:rPr>
          <w:rtl w:val="0"/>
        </w:rPr>
        <w:t xml:space="preserve"> кг⋅м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Сухое состояние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m</w:t>
      </w:r>
      <w:r w:rsidDel="00000000" w:rsidR="00000000" w:rsidRPr="00000000">
        <w:rPr>
          <w:b w:val="1"/>
          <w:bCs w:val="1"/>
          <w:sz w:val="6"/>
          <w:szCs w:val="6"/>
          <w:vertAlign w:val="baseline"/>
          <w:rtl w:val="0"/>
        </w:rPr>
        <w:t xml:space="preserve">dry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=10000 кг):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=4050 кг⋅м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≈405360 кг⋅м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≈4,054⋅10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5</w:t>
      </w:r>
      <w:r w:rsidDel="00000000" w:rsidR="00000000" w:rsidRPr="00000000">
        <w:rPr>
          <w:rtl w:val="0"/>
        </w:rPr>
        <w:t xml:space="preserve"> кг⋅м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2.3. Положение центра масс (ЦМ) и плечо управления тягой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Для замыкания динамических уравнений Эйлера внешние управляющие моменты формируются отклонением вектора тяги двигательной установки (TVC) относительно текущего центра масс: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Положение ЦМ заправленной ракеты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=30 т):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цм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=11,0 м от донного среза.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Положение ЦМ пустой ракеты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dry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=10 т):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цм,dry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=7,5 м (смещение к корме за счет массы двигательного блока).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Динамическое положение ЦМ в зависимости от текущей массы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цм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)=7,5+</w:t>
      </w:r>
      <w:r w:rsidDel="00000000" w:rsidR="00000000" w:rsidRPr="00000000">
        <w:rPr>
          <w:vertAlign w:val="baseline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−10000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⋅3,5[м]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Плечо вектора тяги для вычисления моментов тангажа и рыскания: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arm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цм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3. Исправление математических и физических ошибок в баллистике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Устранение деления на ноль в законе управления тангажом (п. 2.3)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Причина ошибки:</w:t>
      </w:r>
      <w:r w:rsidDel="00000000" w:rsidR="00000000" w:rsidRPr="00000000">
        <w:rPr>
          <w:rtl w:val="0"/>
        </w:rPr>
        <w:t xml:space="preserve"> Исходная тангенциальная зависимость tan(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))=tan(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)−(tan(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)−tan(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))⋅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t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при вертикальном старте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=90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) содержит значение tan(90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cos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9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∘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sin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9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∘​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01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. В коде симулятора это вызывало критическое исключение переполнения (ZeroDivisionError) либо генерацию NaN.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Корректное решение через угол отклонения от местной вертикали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γ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t</w:t>
      </w:r>
      <w:r w:rsidDel="00000000" w:rsidR="00000000" w:rsidRPr="00000000">
        <w:rPr>
          <w:b w:val="1"/>
          <w:bCs w:val="1"/>
          <w:rtl w:val="0"/>
        </w:rPr>
        <w:t xml:space="preserve">)=90</w:t>
      </w:r>
      <w:r w:rsidDel="00000000" w:rsidR="00000000" w:rsidRPr="00000000">
        <w:rPr>
          <w:b w:val="1"/>
          <w:bCs w:val="1"/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b w:val="1"/>
          <w:bCs w:val="1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θ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На старте отклонение равно нулю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γ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=0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), следовательно, tan(0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)=0. Классический линейный закон тангенсов (Linear Tangent Steering Law) принимает корректную форму: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tan(90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))=tan(90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)⋅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или через котангенс тангажа: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cot(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))=cot(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)⋅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⟹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i w:val="0"/>
          <w:iCs w:val="0"/>
          <w:rtl w:val="0"/>
        </w:rPr>
        <w:t xml:space="preserve">arccot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tl w:val="0"/>
        </w:rPr>
        <w:t xml:space="preserve">cot(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)⋅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  <w:t xml:space="preserve">=arctan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tan(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Исправление формулы времени вертикального участка подъема (п. 1)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Причина ошибки:</w:t>
      </w:r>
      <w:r w:rsidDel="00000000" w:rsidR="00000000" w:rsidRPr="00000000">
        <w:rPr>
          <w:rtl w:val="0"/>
        </w:rPr>
        <w:t xml:space="preserve"> В исходных материалах гравитация была ошибочно отброшена или искажена в формуле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g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0​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ν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0​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h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 (или опечатке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g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0​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(1/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ν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0​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−1)2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h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). Сила тяги преодолевает силу тяжести, поэтому результирующее вертикальное ускорение аппарата составляет: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g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g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−1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ν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−1)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Правильная аналитическая формула: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верт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g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ν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−1)2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h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верт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​​​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Верификация числовых значений для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h</w:t>
      </w:r>
      <w:r w:rsidDel="00000000" w:rsidR="00000000" w:rsidRPr="00000000">
        <w:rPr>
          <w:b w:val="1"/>
          <w:bCs w:val="1"/>
          <w:sz w:val="6"/>
          <w:szCs w:val="6"/>
          <w:vertAlign w:val="baseline"/>
          <w:rtl w:val="0"/>
        </w:rPr>
        <w:t xml:space="preserve">верт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=200 м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g</w:t>
      </w:r>
      <w:r w:rsidDel="00000000" w:rsidR="00000000" w:rsidRPr="00000000">
        <w:rPr>
          <w:b w:val="1"/>
          <w:bCs w:val="1"/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=9,81 м/с</w:t>
      </w:r>
      <w:r w:rsidDel="00000000" w:rsidR="00000000" w:rsidRPr="00000000">
        <w:rPr>
          <w:b w:val="1"/>
          <w:bCs w:val="1"/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Для нашего 30-тонного прототипа на полной тяге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ν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=TWR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≈1,529):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верт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9,81⋅(1,529−1)2⋅200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5,19400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≈8,78 с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При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ν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=1,2: время составляет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0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,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2⋅9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,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81400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≈14,28 с (вместо ошибочно указанных 5,8 с).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При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ν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=1,4: время составляет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0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,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4⋅9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,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81400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≈10,10 с.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 Исправление расчета скорости MECO и положения корня (п. 3)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Причина ошибки:</w:t>
      </w:r>
      <w:r w:rsidDel="00000000" w:rsidR="00000000" w:rsidRPr="00000000">
        <w:rPr>
          <w:rtl w:val="0"/>
        </w:rPr>
        <w:t xml:space="preserve"> Величина ≈2340 м/с является полной пространственной скоростью в момент отсечки двигателей, а не вертикальной ее компонентой. Под знаком квадратного корня находится исключительно вертикальная скорость подъема до апогея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g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H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h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MECO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2⋅9,81⋅(120000−70000)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981000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≈990,45 м/с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Правильная итоговая формула скорости MECO: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MECO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g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H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h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MECO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При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=25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MECO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sin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2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5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∘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990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,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45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≈2343,6 м/с≈2340 м/с. С учетом преодоления гравитационных и аэродинамических потерь (+15–25%):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MECO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≈2700−2900 м/с.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4. Полная замкнутая система 14 ОДУ физического движка (для ИТ-1)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Математическая модель 6-DOF для модуля PhysicsEngine приводится к задаче Коши 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dtdX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8"/>
          <w:szCs w:val="8"/>
          <w:vertAlign w:val="baseline"/>
        </w:rPr>
      </w:pPr>
      <w:r w:rsidDel="00000000" w:rsidR="00000000" w:rsidRPr="00000000">
        <w:rPr>
          <w:rtl w:val="0"/>
        </w:rPr>
        <w:t xml:space="preserve">4.1. Вектор состояния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i w:val="0"/>
          <w:iCs w:val="0"/>
          <w:sz w:val="8"/>
          <w:szCs w:val="8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Arial" w:cs="Arial" w:eastAsia="Arial" w:hAnsi="Arial"/>
          <w:i w:val="1"/>
          <w:iCs w:val="1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=[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Y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Z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3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4.2. Правые части 14 дифференциальных уравнений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Координаты в нормальной земной СК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O</w:t>
      </w:r>
      <w:r w:rsidDel="00000000" w:rsidR="00000000" w:rsidRPr="00000000">
        <w:rPr>
          <w:b w:val="1"/>
          <w:bCs w:val="1"/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X</w:t>
      </w:r>
      <w:r w:rsidDel="00000000" w:rsidR="00000000" w:rsidRPr="00000000">
        <w:rPr>
          <w:b w:val="1"/>
          <w:bCs w:val="1"/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Y</w:t>
      </w:r>
      <w:r w:rsidDel="00000000" w:rsidR="00000000" w:rsidRPr="00000000">
        <w:rPr>
          <w:b w:val="1"/>
          <w:bCs w:val="1"/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Z</w:t>
      </w:r>
      <w:r w:rsidDel="00000000" w:rsidR="00000000" w:rsidRPr="00000000">
        <w:rPr>
          <w:b w:val="1"/>
          <w:bCs w:val="1"/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X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Y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Z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b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/0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T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где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b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/0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T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— матрица перехода из связанной СК в земную.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Линейные скорости в связанной СК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OXYZ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mT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F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рули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mT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F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рули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mT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F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рули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Здесь скоростной напор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21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ρ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)∣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∣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, аэродинамические силы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=[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a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a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a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T</w:t>
      </w:r>
      <w:r w:rsidDel="00000000" w:rsidR="00000000" w:rsidRPr="00000000">
        <w:rPr>
          <w:rtl w:val="0"/>
        </w:rPr>
        <w:t xml:space="preserve"> рассчитываются с использованием площади миделя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мид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=2,55 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, плотности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ρ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) по ГОСТ 4401-81 и коэффициентов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D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L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). Тяга сопла корректируется на противодавление среды: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вак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атм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)⋅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сопла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Кинематика унитарного кватерниона ориентации Λ=[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14"/>
          <w:szCs w:val="14"/>
          <w:vertAlign w:val="baseline"/>
          <w:rtl w:val="0"/>
        </w:rPr>
        <w:t xml:space="preserve">1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14"/>
          <w:szCs w:val="14"/>
          <w:vertAlign w:val="baseline"/>
          <w:rtl w:val="0"/>
        </w:rPr>
        <w:t xml:space="preserve">3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4"/>
          <w:szCs w:val="14"/>
          <w:vertAlign w:val="baseline"/>
          <w:rtl w:val="0"/>
        </w:rPr>
        <w:t xml:space="preserve">T</w:t>
      </w:r>
      <w:r w:rsidDel="00000000" w:rsidR="00000000" w:rsidRPr="00000000">
        <w:rPr>
          <w:b w:val="1"/>
          <w:bCs w:val="1"/>
          <w:rtl w:val="0"/>
        </w:rPr>
        <w:t xml:space="preserve"> (защита от Gimbal Lock):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</w:t>
      </w:r>
      <w:r w:rsidDel="00000000" w:rsidR="00000000" w:rsidRPr="00000000">
        <w:rPr>
          <w:vertAlign w:val="baseline"/>
          <w:rtl w:val="0"/>
        </w:rPr>
        <w:t xml:space="preserve">Λ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21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0−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0−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(с обязательной постобработкой Λ←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∥Λ∥Λ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на каждом шаге RK4).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Угловые скорости в связанной СК (уравнения Эйлера с переменными моментами инерции):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x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внеш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)−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))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x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внеш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(так как 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y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внеш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)−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))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z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внеш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)−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))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где управляющие моменты от отклонения вектора тяги на углы кардана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i w:val="1"/>
          <w:i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i w:val="1"/>
          <w:iCs w:val="1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i w:val="1"/>
          <w:i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y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внеш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)⋅sin(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цм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z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внеш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)⋅sin(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цм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Уравнение расхода массы: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dtdm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rtl w:val="0"/>
        </w:rPr>
        <w:t xml:space="preserve">{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q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u</w:t>
      </w:r>
      <w:r w:rsidDel="00000000" w:rsidR="00000000" w:rsidRPr="00000000">
        <w:rPr>
          <w:vertAlign w:val="baseline"/>
          <w:rtl w:val="0"/>
        </w:rPr>
        <w:t xml:space="preserve">)=−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I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sp​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g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0​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u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T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max​​</w:t>
      </w:r>
      <w:r w:rsidDel="00000000" w:rsidR="00000000" w:rsidRPr="00000000">
        <w:rPr>
          <w:vertAlign w:val="baseline"/>
          <w:rtl w:val="0"/>
        </w:rPr>
        <w:t xml:space="preserve">,0,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dry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 и двигатель включен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≤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dry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 или двигатель выключен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(минимальный предел дросселирования: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∈[0,40;1,00]).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Посадочный регламент («Doghouse») и триггеры исходов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Обоснование режима Hoverslam (Suicide Burn):</w:t>
      </w:r>
      <w:r w:rsidDel="00000000" w:rsidR="00000000" w:rsidRPr="00000000">
        <w:rPr>
          <w:rtl w:val="0"/>
        </w:rPr>
        <w:t xml:space="preserve"> Расчетная посадочная масса составляет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посад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=12000 кг (10 т сухой массы + 2 т остатка топлива). Необходимая тяга для зависания равна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=12000⋅9,81=117720 Н, что требует дросселирования до 26,16% от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max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. Поскольку нижний предел дросселирования жестко ограничен 40%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min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=180000 Н), тяговооруженность на минимальном газу составляет: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TWR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40%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12000⋅9,81180000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≈1,529&gt;1,0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Статическое зависание аппарата невозможно — торможение выполняется строго по профилю импульсного гашения скорости в момент касания.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Границы посадочного конверта безопасности: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Вертикальная скорость касания: штатная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=2,0±1,0 м/с; предельно допустимая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≤3,05 м/с (10 фут/с).</w:t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Горизонтальная скорость: штатная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≤0,5−1,0 м/с; предел ±1,52 м/с допускается только при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≤2,13 м/с. При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=3,05 м/с горизонтальная скорость должна быть строго равна 0 м/с.</w:t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Ориентация при касании: отклонение по тангажу ≤±5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, рыскание ≤±15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, крен ≤±10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. Критический угол опрокидывания: 40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Конструкционная перегрузка: нормальная посадочная ∼2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(до 4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для многоразовых систем), конструкционный предел прочности 5−6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, разрушение &gt;6−10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Исход посадки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4"/>
                <w:szCs w:val="14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(верт.), м/с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0"/>
                <w:szCs w:val="10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sz w:val="10"/>
                <w:szCs w:val="10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0"/>
                <w:szCs w:val="10"/>
                <w:vertAlign w:val="baseline"/>
                <w:rtl w:val="0"/>
              </w:rPr>
              <w:t xml:space="preserve">z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(гориз.), м/с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Отклонение углов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Перегрузка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Визуализация в 3D-сцене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/ Safe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≤3,0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≤1,0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≤10</w:t>
            </w: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∘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≤2−4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Равномерное обжатие амортизаторов стоек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≤2,0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≤0,5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≤5</w:t>
            </w: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∘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∼2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Идеальное касание, ракета строго вертикальна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 Landing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2,0−5,0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≤1,52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≤12</w:t>
            </w: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∘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&lt;6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Сжатие опор до упора, жесткий отскок без разрушения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Toppling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Любая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&gt;1,52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&gt;15</w:t>
            </w: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  <w:t xml:space="preserve"> или уклон &gt;12</w:t>
            </w: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∘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8−10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Завал на бок, кувырок корпуса, вращение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Crash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&gt;5,0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Любая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Любой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&gt;6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Разрушение стоек, веер обломков (V-образный), темное пятно выброса грунта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d55af5ca34723fa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