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Массовый баланс и тяговооружённость</w:t>
        <w:br/>
        <w:t>возвращаемой ракеты массой 30 тонн</w:t>
      </w:r>
    </w:p>
    <w:p>
      <w:pPr>
        <w:pStyle w:val="Subtitle"/>
      </w:pPr>
      <w:r>
        <w:t>КР 3   Массовый баланс прототипа VTVL с посадочным запасом 3500 кг</w:t>
      </w:r>
    </w:p>
    <w:p>
      <w:r>
        <w:t>Посадочный запас принят равным 3 500 кг: условие «больше 3000 кг» выполнено. Это 22,882 с эквивалентной работы на полной тяге. С задержкой зажигания 1,5 с и расчётным набором тяги за 1,0 с выгорание наступает через 24,882 с от команды.</w:t>
      </w:r>
    </w:p>
    <w:p>
      <w:pPr>
        <w:pStyle w:val="Heading1"/>
      </w:pPr>
      <w:r>
        <w:t>1 Исходные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5256"/>
        <w:gridCol w:w="1800"/>
        <w:gridCol w:w="3168"/>
      </w:tblGrid>
      <w:tr>
        <w:trPr>
          <w:tblHeader/>
        </w:trPr>
        <w:tc>
          <w:tcPr>
            <w:tcW w:type="dxa" w:w="525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1800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Обозначение</w:t>
            </w:r>
          </w:p>
        </w:tc>
        <w:tc>
          <w:tcPr>
            <w:tcW w:type="dxa" w:w="316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Стартовая масса ракеты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m₀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30 000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Сухая масса с нерасходуемой нагрузкой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m_dry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10 000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Начальный запас горючего и окислителя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P₀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20 000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Максимальная суммарная тяга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T_max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450 кН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Удельный импульс — допущение расчёта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I_sp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300 с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Стандартное ускорение в формуле I_sp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g₀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9,80665 м/с²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Установившееся дросселирование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u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40–100%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Посадочный запас в расчёте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P_L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3 500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Масса при команде посадочного запуска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m_L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13 500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Задержка до полезной тяги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τ_ign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1,5 с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Принят единый VTVL-прототип из решения команды от 26.09.2026: диаметр 1,8 м, высота 22 м, расчётная площадь сечения 2,55 м². Приложенный «Паспорт ракеты.pdf» описывает полноразмерный Falcon 9; его массы, двигатели и удельные импульсы не задают параметры этого прототипа.</w:t>
      </w:r>
    </w:p>
    <w:p>
      <w:pPr>
        <w:pStyle w:val="Heading2"/>
      </w:pPr>
      <w:r>
        <w:t>Баланс топлива по этапам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0</m:t>
              </m:r>
            </m:sub>
          </m:sSub>
          <m:r>
            <w:rPr>
              <w:rFonts w:ascii="Cambria Math" w:hAnsi="Cambria Math"/>
              <w:sz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r>
            <w:rPr>
              <w:rFonts w:ascii="Cambria Math" w:hAnsi="Cambria Math"/>
              <w:sz w:val="24"/>
            </w:rPr>
            <m:t xml:space="preserve">20 000</m:t>
          </m:r>
          <m: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кг</m:t>
          </m:r>
          <m:r>
            <w:rPr>
              <w:rFonts w:ascii="Cambria Math" w:hAnsi="Cambria Math"/>
              <w:sz w:val="24"/>
            </w:rPr>
            <m:t xml:space="preserve">;     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L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 + </m:t>
          </m:r>
          <m:r>
            <w:rPr>
              <w:rFonts w:ascii="Cambria Math" w:hAnsi="Cambria Math"/>
              <w:sz w:val="24"/>
            </w:rPr>
            <m:t xml:space="preserve">3 500</m:t>
          </m:r>
          <m:r>
            <w:rPr>
              <w:rFonts w:ascii="Cambria Math" w:hAnsi="Cambria Math"/>
              <w:sz w:val="24"/>
            </w:rPr>
            <m:t xml:space="preserve"> = </m:t>
          </m:r>
          <m:r>
            <w:rPr>
              <w:rFonts w:ascii="Cambria Math" w:hAnsi="Cambria Math"/>
              <w:sz w:val="24"/>
            </w:rPr>
            <m:t xml:space="preserve">13 500</m:t>
          </m:r>
          <m: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кг</m:t>
          </m:r>
        </m:oMath>
      </m:oMathPara>
    </w:p>
    <w:p>
      <w:r>
        <w:t>Общее требование остатка &gt; 3000 кг означает расход до посадочного запуска &lt; 17 000 кг. Для выбранного запаса 3 500 кг расход ограничен 16 500 кг, включая разгон и все предыдущие манёвры. КР 4 должен подтвердить этот остаток по траектории. Разница 500 кг с порогом — запас на входе, а не обязательный остаток после посадки.</w:t>
      </w:r>
    </w:p>
    <w:p>
      <w:r>
        <w:t>Константа g₀ = 9,80665 м/с² [3] фиксирована в определении I_sp и формуле расхода. В таблицах TWR и ускорений принята опорная гравитация g = g₀ у поверхности. Для траектории местное g(h) передаёт КР 2; оно не заменяет g₀ в формуле расхода.</w:t>
      </w:r>
    </w:p>
    <w:p>
      <w:r>
        <w:t>Допущения: I_sp = 300 с постоянен, сухая масса неизменна, отделения ступеней нет. Пусковые потери без полезной тяги и невырабатываемый остаток в численном примере равны нулю. Если они заданы, их вычитают из доступного для тяги топлива и пересчитывают время работы.</w:t>
      </w:r>
    </w:p>
    <w:p>
      <w:pPr>
        <w:pStyle w:val="Heading1"/>
        <w:pageBreakBefore/>
      </w:pPr>
      <w:r>
        <w:t>2 Расход топлива и конечное время запуска</w:t>
      </w:r>
    </w:p>
    <w:p>
      <w:r>
        <w:t>Из определения удельного импульса [1] следует связь фактической тяги с положительным массовым расходом q: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sp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факт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q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  ⇒  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dm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dt</m:t>
              </m:r>
            </m:den>
          </m:f>
          <m:r>
            <w:rPr>
              <w:rFonts w:ascii="Cambria Math" w:hAnsi="Cambria Math"/>
              <w:sz w:val="24"/>
            </w:rPr>
            <m:t xml:space="preserve"> = −q = −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факт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100%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450 000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300 · 9,80665</m:t>
              </m:r>
            </m:den>
          </m:f>
          <m:r>
            <w:rPr>
              <w:rFonts w:ascii="Cambria Math" w:hAnsi="Cambria Math"/>
              <w:sz w:val="24"/>
            </w:rPr>
            <m:t xml:space="preserve"> = </m:t>
          </m:r>
          <m:r>
            <w:rPr>
              <w:rFonts w:ascii="Cambria Math" w:hAnsi="Cambria Math"/>
              <w:sz w:val="24"/>
            </w:rPr>
            <m:t xml:space="preserve">152,957432</m:t>
          </m:r>
          <m: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кг/с</m:t>
          </m:r>
        </m:oMath>
      </m:oMathPara>
    </w:p>
    <w:p>
      <w:r>
        <w:t>Расход включает горючее и окислитель. Для команды u установившийся расход q_ss = u·152,957432 кг/с; во время запуска используется фактическая тяга, а не сразу заданная команда.</w:t>
      </w:r>
    </w:p>
    <w:p>
      <w:pPr>
        <w:pStyle w:val="Heading2"/>
      </w:pPr>
      <w:r>
        <w:t>Задержка и набор тяги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2376"/>
        <w:gridCol w:w="3456"/>
        <w:gridCol w:w="4392"/>
      </w:tblGrid>
      <w:tr>
        <w:trPr>
          <w:tblHeader/>
        </w:trPr>
        <w:tc>
          <w:tcPr>
            <w:tcW w:type="dxa" w:w="237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Период от команды</w:t>
            </w:r>
          </w:p>
        </w:tc>
        <w:tc>
          <w:tcPr>
            <w:tcW w:type="dxa" w:w="345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Фактическая тяга</w:t>
            </w:r>
          </w:p>
        </w:tc>
        <w:tc>
          <w:tcPr>
            <w:tcW w:type="dxa" w:w="439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Статус параметра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0–1,5 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Заданная задержка 1,5 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1,5–2,5 с</w:t>
            </w:r>
          </w:p>
        </w:tc>
        <w:tc>
          <w:tcPr>
            <w:tcW w:type="dxa" w:w="345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Линейный рост от 0 до u·T_max</w:t>
            </w:r>
          </w:p>
        </w:tc>
        <w:tc>
          <w:tcPr>
            <w:tcW w:type="dxa" w:w="439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Набор τ_r = 1,0 с — допущение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После 2,5 с до выгорания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u·T_max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Установившийся режим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Здесь 1,5 с трактуются как полная пауза без полезной тяги. Длительность её набора вынесена в отдельный параметр τ_r: паспортной кривой VTVL в приложениях нет. Значение 1,0 с служит явной аппроксимацией для таблиц и графика; оно не является характеристикой реального двигателя.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z = max(0, t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ign</m:t>
              </m:r>
            </m:sub>
          </m:sSub>
          <m:r>
            <w:rPr>
              <w:rFonts w:ascii="Cambria Math" w:hAnsi="Cambria Math"/>
              <w:sz w:val="24"/>
            </w:rPr>
            <m:t xml:space="preserve">);      α(t) = min(1,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z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r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)</m:t>
          </m:r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факт</m:t>
              </m:r>
            </m:sub>
          </m:sSub>
          <m:r>
            <w:rPr>
              <w:rFonts w:ascii="Cambria Math" w:hAnsi="Cambria Math"/>
              <w:sz w:val="24"/>
            </w:rPr>
            <m:t xml:space="preserve">(t) = u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max</m:t>
              </m:r>
            </m:sub>
          </m:sSub>
          <m:r>
            <w:rPr>
              <w:rFonts w:ascii="Cambria Math" w:hAnsi="Cambria Math"/>
              <w:sz w:val="24"/>
            </w:rPr>
            <m:t xml:space="preserve"> α(t)  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при наличии топлива</m:t>
          </m:r>
        </m:oMath>
      </m:oMathPara>
    </w:p>
    <w:p>
      <w:r>
        <w:t>При запуске фактическая тяга проходит через значения ниже 40%. Ограничение 40–100% относится к установившемуся режиму; изменение команды и выключение также требуют переходной характеристики двигателя.</w:t>
      </w:r>
    </w:p>
    <w:p>
      <w:pPr>
        <w:pStyle w:val="Heading2"/>
      </w:pPr>
      <w:r>
        <w:t>Интегральный закон изменения массы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S(t) = </m:t>
          </m:r>
          <m:f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 xml:space="preserve">min(z, </m:t>
                  </m:r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 xml:space="preserve"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 xml:space="preserve">r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 xml:space="preserve">2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r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+ max(0, z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r</m:t>
              </m:r>
            </m:sub>
          </m:sSub>
          <m:r>
            <w:rPr>
              <w:rFonts w:ascii="Cambria Math" w:hAnsi="Cambria Math"/>
              <w:sz w:val="24"/>
            </w:rPr>
            <m:t xml:space="preserve">)</m:t>
          </m:r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m(t) = max(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,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start</m:t>
              </m:r>
            </m:sub>
          </m:sSub>
          <m:r>
            <w:rPr>
              <w:rFonts w:ascii="Cambria Math" w:hAnsi="Cambria Math"/>
              <w:sz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ss</m:t>
              </m:r>
            </m:sub>
          </m:sSub>
          <m:r>
            <w:rPr>
              <w:rFonts w:ascii="Cambria Math" w:hAnsi="Cambria Math"/>
              <w:sz w:val="24"/>
            </w:rPr>
            <m:t xml:space="preserve"> S(t))</m:t>
          </m:r>
        </m:oMath>
      </m:oMathPara>
    </w:p>
    <w:p>
      <w:r>
        <w:t>Для полного запаса m_start = 30 000 кг; для посадочного участка m_start = 13 500 кг. Дополнительный пусковой расход q_aux добавляется в баланс отдельно: dm/dt = −T_факт/(I_sp·g₀) − q_aux. После исчерпания доступного топлива расход и тяга равны нулю.</w:t>
      </w:r>
    </w:p>
    <w:p>
      <w:pPr>
        <w:pStyle w:val="Heading1"/>
        <w:pageBreakBefore/>
      </w:pPr>
      <w:r>
        <w:t>3 Расход и время выгорания баков</w:t>
      </w:r>
    </w:p>
    <w:p>
      <w:r>
        <w:t>Каждый режим рассчитывается независимо. Во всех столбцах «от команды» учтены задержка 1,5 с и линейный набор за 1,0 с. Эквивалентное время P/q_ss показывает запас при уже установившейся тяге.</w:t>
      </w:r>
    </w:p>
    <w:p>
      <w:pPr>
        <w:pStyle w:val="Caption"/>
      </w:pPr>
      <w:r>
        <w:t>Таблица 1. Полный начальный запас 20 000 кг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936"/>
        <w:gridCol w:w="1152"/>
        <w:gridCol w:w="1728"/>
        <w:gridCol w:w="2232"/>
        <w:gridCol w:w="2088"/>
        <w:gridCol w:w="2088"/>
      </w:tblGrid>
      <w:tr>
        <w:trPr>
          <w:tblHeader/>
        </w:trPr>
        <w:tc>
          <w:tcPr>
            <w:tcW w:type="dxa" w:w="93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115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Тяга</w:t>
              <w:br/>
              <w:t>кН</w:t>
            </w:r>
          </w:p>
        </w:tc>
        <w:tc>
          <w:tcPr>
            <w:tcW w:type="dxa" w:w="172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Расход</w:t>
              <w:br/>
              <w:t>кг/с</w:t>
            </w:r>
          </w:p>
        </w:tc>
        <w:tc>
          <w:tcPr>
            <w:tcW w:type="dxa" w:w="223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Выгорание от</w:t>
              <w:br/>
              <w:t>команды, с</w:t>
            </w:r>
          </w:p>
        </w:tc>
        <w:tc>
          <w:tcPr>
            <w:tcW w:type="dxa" w:w="208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TWR после</w:t>
              <w:br/>
              <w:t>набора</w:t>
            </w:r>
          </w:p>
        </w:tc>
        <w:tc>
          <w:tcPr>
            <w:tcW w:type="dxa" w:w="208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TWR перед</w:t>
              <w:br/>
              <w:t>выгоранием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61,183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328,888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0,612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1,835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15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225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76,479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263,511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0,766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2,294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91,774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219,926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0,919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2,753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70%</w:t>
            </w:r>
          </w:p>
        </w:tc>
        <w:tc>
          <w:tcPr>
            <w:tcW w:type="dxa" w:w="115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315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107,070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188,793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1,073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3,212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80%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360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122,366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165,444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1,226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3,671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90%</w:t>
            </w:r>
          </w:p>
        </w:tc>
        <w:tc>
          <w:tcPr>
            <w:tcW w:type="dxa" w:w="115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405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137,662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147,284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1,380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4,130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450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152,957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132,755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1,533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4,589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Это сравнение расхода полного запаса при опорном g = g₀, а не траектория полёта. Для отрыва от площадки требуется TWR &gt; 1; при исходных 30 т порог тяги равен 65,378%. Режимы ниже этой границы не обеспечивают немедленного взлёта.</w:t>
      </w:r>
    </w:p>
    <w:p>
      <w:pPr>
        <w:pStyle w:val="Caption"/>
      </w:pPr>
      <w:r>
        <w:t>Таблица 2. Посадочный участок с запасом 3 500 кг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936"/>
        <w:gridCol w:w="1728"/>
        <w:gridCol w:w="1872"/>
        <w:gridCol w:w="2304"/>
        <w:gridCol w:w="1728"/>
        <w:gridCol w:w="1656"/>
      </w:tblGrid>
      <w:tr>
        <w:trPr>
          <w:tblHeader/>
        </w:trPr>
        <w:tc>
          <w:tcPr>
            <w:tcW w:type="dxa" w:w="93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172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На набор</w:t>
              <w:br/>
              <w:t>тяги, кг</w:t>
            </w:r>
          </w:p>
        </w:tc>
        <w:tc>
          <w:tcPr>
            <w:tcW w:type="dxa" w:w="187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Эквивалент</w:t>
              <w:br/>
              <w:t>работы, с</w:t>
            </w:r>
          </w:p>
        </w:tc>
        <w:tc>
          <w:tcPr>
            <w:tcW w:type="dxa" w:w="2304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Выгорание от</w:t>
              <w:br/>
              <w:t>команды, с</w:t>
            </w:r>
          </w:p>
        </w:tc>
        <w:tc>
          <w:tcPr>
            <w:tcW w:type="dxa" w:w="172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TWR после</w:t>
              <w:br/>
              <w:t>набора</w:t>
            </w:r>
          </w:p>
        </w:tc>
        <w:tc>
          <w:tcPr>
            <w:tcW w:type="dxa" w:w="165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TWR перед</w:t>
              <w:br/>
              <w:t>выгоранием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40%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30,591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57,205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59,205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1,363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1,835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38,239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45,764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47,764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1,704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2,294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60%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45,887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38,137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40,137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2,046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2,753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70%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53,535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32,689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34,689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2,389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3,212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80%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61,183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28,603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30,603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2,732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3,671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90%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68,831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25,425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27,425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3,075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4,130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76,479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22,882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24,882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3,418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4,589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end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ign</m:t>
              </m:r>
            </m:sub>
          </m:sSub>
          <m:r>
            <w:rPr>
              <w:rFonts w:ascii="Cambria Math" w:hAnsi="Cambria Math"/>
              <w:sz w:val="24"/>
            </w:rPr>
            <m:t xml:space="preserve"> +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P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ss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+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2</m:t>
              </m:r>
            </m:den>
          </m:f>
          <m:r>
            <w:rPr>
              <w:rFonts w:ascii="Cambria Math" w:hAnsi="Cambria Math"/>
              <w:sz w:val="24"/>
            </w:rPr>
            <m:t xml:space="preserve">;      P ≥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ss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2</m:t>
              </m:r>
            </m:den>
          </m:f>
        </m:oMath>
      </m:oMathPara>
    </w:p>
    <w:p>
      <w:r>
        <w:t>На 100%: 3 500/152,957432 ≈ 22,882 с эквивалентной работы. Задержка увеличивает время от команды на 1,5 с, линейный набор — ещё на 0,5 с. Итого 24,882 с от команды; этот интервал включает паузу и набор тяги.</w:t>
      </w:r>
    </w:p>
    <w:p>
      <w:r>
        <w:t>За набор расходуется 76,479 кг, остаётся 3 423,521 кг. После выхода на режим работа на 100% продолжается 22,38 с. Время от появления тяги до выгорания — 23,38 с.</w:t>
      </w:r>
    </w:p>
    <w:p>
      <w:r>
        <w:t>Если топлива недостаточно даже на полный набор, применяется ветвь t_end = τ_ign + √(2·τ_r·P/q_ss). В приведённых таблицах весь набор обеспечен топливом.</w:t>
      </w:r>
    </w:p>
    <w:p>
      <w:pPr>
        <w:pStyle w:val="Heading1"/>
        <w:pageBreakBefore/>
      </w:pPr>
      <w:r>
        <w:t>4 Динамика посадочной массы и тяговооружённости</w:t>
      </w:r>
    </w:p>
    <w:p>
      <w:r>
        <w:t>Начало отсчёта — команда зажигания. В первые 1,5 с масса равна 13 500 кг и TWR = 0. Для компактности показаны четыре режима; сводка всех семи режимов приведена в таблице 2. Расчёт ведётся без округления; значения в таблице округлены.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1123"/>
        <w:gridCol w:w="1296"/>
        <w:gridCol w:w="979"/>
        <w:gridCol w:w="1296"/>
        <w:gridCol w:w="979"/>
        <w:gridCol w:w="1296"/>
        <w:gridCol w:w="979"/>
        <w:gridCol w:w="1296"/>
        <w:gridCol w:w="979"/>
      </w:tblGrid>
      <w:tr>
        <w:trPr>
          <w:tblHeader/>
        </w:trPr>
        <w:tc>
          <w:tcPr>
            <w:tcW w:type="dxa" w:w="1123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t, с</w:t>
            </w:r>
          </w:p>
        </w:tc>
        <w:tc>
          <w:tcPr>
            <w:tcW w:type="dxa" w:w="129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40%</w:t>
              <w:br/>
              <w:t>m, кг</w:t>
            </w:r>
          </w:p>
        </w:tc>
        <w:tc>
          <w:tcPr>
            <w:tcW w:type="dxa" w:w="97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40%</w:t>
              <w:br/>
              <w:t>TWR</w:t>
            </w:r>
          </w:p>
        </w:tc>
        <w:tc>
          <w:tcPr>
            <w:tcW w:type="dxa" w:w="129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60%</w:t>
              <w:br/>
              <w:t>m, кг</w:t>
            </w:r>
          </w:p>
        </w:tc>
        <w:tc>
          <w:tcPr>
            <w:tcW w:type="dxa" w:w="97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60%</w:t>
              <w:br/>
              <w:t>TWR</w:t>
            </w:r>
          </w:p>
        </w:tc>
        <w:tc>
          <w:tcPr>
            <w:tcW w:type="dxa" w:w="129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80%</w:t>
              <w:br/>
              <w:t>m, кг</w:t>
            </w:r>
          </w:p>
        </w:tc>
        <w:tc>
          <w:tcPr>
            <w:tcW w:type="dxa" w:w="97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80%</w:t>
              <w:br/>
              <w:t>TWR</w:t>
            </w:r>
          </w:p>
        </w:tc>
        <w:tc>
          <w:tcPr>
            <w:tcW w:type="dxa" w:w="129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100%</w:t>
              <w:br/>
              <w:t>m, кг</w:t>
            </w:r>
          </w:p>
        </w:tc>
        <w:tc>
          <w:tcPr>
            <w:tcW w:type="dxa" w:w="97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100%</w:t>
              <w:br/>
              <w:t>TWR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13 500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13 492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0,680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13 489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1,021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13 485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1,361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13 481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1,702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13 469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1,363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13 454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2,046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13 439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2,732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13 424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3,418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13 316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1,378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13 225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2,082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13 133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2,795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13 041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3,519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13 011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1,411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12 766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2,157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12 521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2,932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12 276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3,738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12 705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1,445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12 307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2,237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11 909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3,082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11 512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3,986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12 399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1,480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11 848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2,324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11 297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3,249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10 747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4,270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24,882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12 100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1,517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11 400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2,415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10 700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3,431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11 787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1,557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10 930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2,519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10 074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3,644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11 175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1,642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10 013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2,750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10 563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1,738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59,205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73952" cy="2753428"/>
            <wp:docPr id="1" name="Picture 1" descr="Тяговооружённость 30-тонного VTVL на посадочном участке с остатком 3500 кг. Задержка без тяги 1,5 с, линейный набор 1 с, режимы 40, 60, 80 и 100 процент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r_3500k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275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TWR при расходовании посадочного запаса. Пустой кружок — предел непосредственно перед выгоранием; нижняя точка — отсутствие тяги после него. Пунктирные вертикали обозначают исчерпание топлива, а не физическую кривую штатного выключения.</w:t>
      </w:r>
    </w:p>
    <w:p>
      <w:pPr>
        <w:pStyle w:val="Heading1"/>
        <w:pageBreakBefore/>
      </w:pPr>
      <w:r>
        <w:t>5 Пределы управления тягой и торможение</w:t>
      </w:r>
    </w:p>
    <w:p>
      <w:r>
        <w:t>Для контрольного расчёта принято g = 9,80665 м/с², сопротивление воздуха равно нулю. Положительное направление задано вверх. Тяговооружённость и ускорение: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TWR =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факт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m g</m:t>
              </m:r>
            </m:den>
          </m:f>
          <m:r>
            <w:rPr>
              <w:rFonts w:ascii="Cambria Math" w:hAnsi="Cambria Math"/>
              <w:sz w:val="24"/>
            </w:rPr>
            <m:t xml:space="preserve">;      a =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факт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m</m:t>
              </m:r>
            </m:den>
          </m:f>
          <m:r>
            <w:rPr>
              <w:rFonts w:ascii="Cambria Math" w:hAnsi="Cambria Math"/>
              <w:sz w:val="24"/>
            </w:rPr>
            <m:t xml:space="preserve"> − g = (TWR − 1) g</m:t>
          </m:r>
        </m:oMath>
      </m:oMathPara>
    </w:p>
    <w:p>
      <w:r>
        <w:t>При массе 13 500 кг установившиеся 100% дают TWR = 3,399 и ускорение вверх 23,53 м/с². На 40% получаются TWR = 1,360 и 3,53 м/с². Уменьшение массы усиливает торможение при той же тяге.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hover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m g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;     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hover</m:t>
              </m:r>
            </m:sub>
          </m:sSub>
          <m:r>
            <w:rPr>
              <w:rFonts w:ascii="Cambria Math" w:hAnsi="Cambria Math"/>
              <w:sz w:val="24"/>
            </w:rPr>
            <m:t xml:space="preserve">(</m:t>
          </m:r>
          <m:r>
            <w:rPr>
              <w:rFonts w:ascii="Cambria Math" w:hAnsi="Cambria Math"/>
              <w:sz w:val="24"/>
            </w:rPr>
            <m:t xml:space="preserve">13 500</m:t>
          </m:r>
          <m:r>
            <w:rPr>
              <w:rFonts w:ascii="Cambria Math" w:hAnsi="Cambria Math"/>
              <w:sz w:val="24"/>
            </w:rPr>
            <m:t xml:space="preserve">) ≈ </m:t>
          </m:r>
          <m:r>
            <w:rPr>
              <w:rFonts w:ascii="Cambria Math" w:hAnsi="Cambria Math"/>
              <w:sz w:val="24"/>
            </w:rPr>
            <m:t xml:space="preserve">0,2942</m:t>
          </m:r>
          <m:r>
            <w:rPr>
              <w:rFonts w:ascii="Cambria Math" w:hAnsi="Cambria Math"/>
              <w:sz w:val="24"/>
            </w:rPr>
            <m:t xml:space="preserve"> = </m:t>
          </m:r>
          <m:r>
            <w:rPr>
              <w:rFonts w:ascii="Cambria Math" w:hAnsi="Cambria Math"/>
              <w:sz w:val="24"/>
            </w:rPr>
            <m:t xml:space="preserve">29,42</m:t>
          </m:r>
          <m:r>
            <w:rPr>
              <w:rFonts w:ascii="Cambria Math" w:hAnsi="Cambria Math"/>
              <w:sz w:val="24"/>
            </w:rPr>
            <m:t xml:space="preserve">%</m:t>
          </m:r>
        </m:oMath>
      </m:oMathPara>
    </w:p>
    <w:p>
      <w:r>
        <w:t>На всём посадочном участке тяга зависания составляет 21,8–29,42%, то есть ниже минимальных 40%. Пока ракета снижается, избыточная тяга тормозит её; после остановки начнётся движение вверх. Поэтому завершение посадки требует согласованного снижения скорости и выключения с учётом спада тяги.</w:t>
      </w:r>
    </w:p>
    <w:p>
      <w:pPr>
        <w:pStyle w:val="Heading2"/>
      </w:pPr>
      <w:r>
        <w:t>Рост TWR и пример ограничения</w:t>
      </w:r>
    </w:p>
    <w:p>
      <w:r>
        <w:t>На 100% TWR перед исчерпанием топлива достигает 4,589. Значение 4 пересекается через 15,26 с от команды. Если в модели отдельно устанавливают TWR ≤ 4, для установившейся тяги действует: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u ≤ min(1,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4 m g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);     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const</m:t>
              </m:r>
            </m:sub>
          </m:sSub>
          <m:r>
            <w:rPr>
              <w:rFonts w:ascii="Cambria Math" w:hAnsi="Cambria Math"/>
              <w:sz w:val="24"/>
            </w:rPr>
            <m:t xml:space="preserve"> ≤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4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dry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g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≈ </m:t>
          </m:r>
          <m:r>
            <w:rPr>
              <w:rFonts w:ascii="Cambria Math" w:hAnsi="Cambria Math"/>
              <w:sz w:val="24"/>
            </w:rPr>
            <m:t xml:space="preserve">0,871702</m:t>
          </m:r>
        </m:oMath>
      </m:oMathPara>
    </w:p>
    <w:p>
      <w:r>
        <w:t>При постоянной тяге точно по этой границе запас выгорает через 28,25 с от команды. Предел соответствует примерно 87,1702%. Ограничение TWR = 4 — пример настройки при g = g₀. Перегрузка от удара опор рассчитывается отдельно.</w:t>
      </w:r>
    </w:p>
    <w:p>
      <w:pPr>
        <w:pStyle w:val="Heading2"/>
      </w:pPr>
      <w:r>
        <w:t>Проверка по формуле Циолковского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Δv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ideal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sp</m:t>
              </m:r>
            </m:sub>
          </m:sSub>
          <m:r>
            <w:rPr>
              <w:rFonts w:ascii="Cambria Math" w:hAnsi="Cambria Math"/>
              <w:sz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g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0</m:t>
              </m:r>
            </m:sub>
          </m:sSub>
          <m:r>
            <w:rPr>
              <w:rFonts w:ascii="Cambria Math" w:hAnsi="Cambria Math"/>
              <w:sz w:val="24"/>
            </w:rPr>
            <m:t xml:space="preserve"> ln(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13 500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10 000</m:t>
              </m:r>
            </m:den>
          </m:f>
          <m:r>
            <w:rPr>
              <w:rFonts w:ascii="Cambria Math" w:hAnsi="Cambria Math"/>
              <w:sz w:val="24"/>
            </w:rPr>
            <m:t xml:space="preserve">) = </m:t>
          </m:r>
          <m:r>
            <w:rPr>
              <w:rFonts w:ascii="Cambria Math" w:hAnsi="Cambria Math"/>
              <w:sz w:val="24"/>
            </w:rPr>
            <m:t xml:space="preserve">882,91</m:t>
          </m:r>
          <m: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м/с</m:t>
          </m:r>
        </m:oMath>
      </m:oMathPara>
    </w:p>
    <w:p>
      <w:r>
        <w:t>При расходовании всего запаса вертикальное изменение скорости от команды до выгорания равно Δv = Δv_ideal − g·t_end [2]. Для 100% и задержки 1,5 с чувствительность к длительности набора составляет: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2160"/>
        <w:gridCol w:w="4032"/>
        <w:gridCol w:w="4032"/>
      </w:tblGrid>
      <w:tr>
        <w:trPr>
          <w:tblHeader/>
        </w:trPr>
        <w:tc>
          <w:tcPr>
            <w:tcW w:type="dxa" w:w="2160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Набор τ_r, с</w:t>
            </w:r>
          </w:p>
        </w:tc>
        <w:tc>
          <w:tcPr>
            <w:tcW w:type="dxa" w:w="403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Выгорание от команды, с</w:t>
            </w:r>
          </w:p>
        </w:tc>
        <w:tc>
          <w:tcPr>
            <w:tcW w:type="dxa" w:w="403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Δv с тяжестью, м/с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0,5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24,63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641,35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1,0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24,88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638,90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25,13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636,44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В этой модели за одну задержку скорость падения возрастает на 14,710 м/с, а потеря высоты равна |v₀|·1,5 + 11,032 м. Начальные высота и скорость определяют момент запуска; одного времени горения недостаточно для подтверждения безопасного касания.</w:t>
      </w:r>
    </w:p>
    <w:p>
      <w:pPr>
        <w:pStyle w:val="Heading1"/>
        <w:pageBreakBefore/>
      </w:pPr>
      <w:r>
        <w:t>6 Контроль массы и согласование с баллистикой</w:t>
      </w:r>
    </w:p>
    <w:p>
      <w:pPr>
        <w:pStyle w:val="Heading2"/>
      </w:pPr>
      <w:r>
        <w:t>Ограничение расхода на каждом шаге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Δ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= min(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,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∫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факт</m:t>
              </m:r>
            </m:sub>
          </m:sSub>
          <m:r>
            <w:rPr>
              <w:rFonts w:ascii="Cambria Math" w:hAnsi="Cambria Math"/>
              <w:sz w:val="24"/>
            </w:rPr>
            <m:t xml:space="preserve">(t) dt)</m:t>
          </m:r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k+1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− Δ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≥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</m:oMath>
      </m:oMathPara>
    </w:p>
    <w:p>
      <w:r>
        <w:t>За шаг расход до ограничения равен q_ss·[S(t_next) − S(t_prev)]. К нему добавляют ∫q_aux dt, если заданы пусковые потери, затем ограничивают общий расход остатком топлива.</w:t>
      </w:r>
    </w:p>
    <w:p>
      <w:r>
        <w:t>При исчерпании топлива внутри шага находят момент выгорания; далее T = q = 0. На 100% это 24,882183 с от команды. Начальный шаг 0,01 с требует проверки сходимости и обработки событий запуска, выхода на режим и выгорания.</w:t>
      </w:r>
    </w:p>
    <w:p>
      <w:pPr>
        <w:pStyle w:val="Heading2"/>
      </w:pPr>
      <w:r>
        <w:t>Единый бюджет с КР 4 и КР 5</w:t>
      </w:r>
    </w:p>
    <w:p>
      <w:pPr>
        <w:spacing w:before="18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Δv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до посадки</m:t>
              </m:r>
            </m:sub>
          </m:sSub>
          <m:r>
            <w:rPr>
              <w:rFonts w:ascii="Cambria Math" w:hAnsi="Cambria Math"/>
              <w:sz w:val="24"/>
            </w:rPr>
            <m:t xml:space="preserve"> ≤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sp</m:t>
              </m:r>
            </m:sub>
          </m:sSub>
          <m:r>
            <w:rPr>
              <w:rFonts w:ascii="Cambria Math" w:hAnsi="Cambria Math"/>
              <w:sz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g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0</m:t>
              </m:r>
            </m:sub>
          </m:sSub>
          <m:r>
            <w:rPr>
              <w:rFonts w:ascii="Cambria Math" w:hAnsi="Cambria Math"/>
              <w:sz w:val="24"/>
            </w:rPr>
            <m:t xml:space="preserve"> ln(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30 000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13 500</m:t>
              </m:r>
            </m:den>
          </m:f>
          <m:r>
            <w:rPr>
              <w:rFonts w:ascii="Cambria Math" w:hAnsi="Cambria Math"/>
              <w:sz w:val="24"/>
            </w:rPr>
            <m:t xml:space="preserve">) = </m:t>
          </m:r>
          <m:r>
            <w:rPr>
              <w:rFonts w:ascii="Cambria Math" w:hAnsi="Cambria Math"/>
              <w:sz w:val="24"/>
            </w:rPr>
            <m:t xml:space="preserve">2 349,21</m:t>
          </m:r>
          <m: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м/с</m:t>
          </m:r>
        </m:oMath>
      </m:oMathPara>
    </w:p>
    <w:p>
      <w:r>
        <w:t>Бюджет сохраняет 3 500 кг на посадку. MECO около 993 м/с, угол отсечки около 85,5° и дальность 25,27 км — цели КР 4. Их проверяют по траектории вместе с фактическими массой, остатком топлива, высотой и скоростью перед посадочным запуском.</w:t>
      </w:r>
    </w:p>
    <w:p>
      <w:pPr>
        <w:pStyle w:val="Heading2"/>
      </w:pPr>
      <w:r>
        <w:t>Аэродинамика посадочного участка</w:t>
      </w:r>
    </w:p>
    <w:p>
      <w:r>
        <w:t>По поправке ИСС 3 при тех же условиях D = 1,25·D_base, где D_base = ρ·C_D·S·v_rel²/2 [4]. C_D относится к площади S = 2,55 м²; v_rel — скорость относительно воздуха. Сопротивление направлено против v_rel. При вертикальном снижении в неподвижном воздухе a_y = T_факт/m − g(h) + D/m.</w:t>
      </w:r>
    </w:p>
    <w:p>
      <w:r>
        <w:t>При заданных T(t) и I_sp расход и время выгорания не меняются. Экономию от изменения программы тяги рассчитывают с КР 4 и КР 5 по ρ(h), C_D, ветру и начальному состоянию. Рост сопротивления на 25% не равен экономии 25% топлива.</w:t>
      </w:r>
    </w:p>
    <w:p>
      <w:pPr>
        <w:pStyle w:val="Heading2"/>
      </w:pPr>
      <w:r>
        <w:t>Проверка касания и состав передаваемых данных</w:t>
      </w:r>
    </w:p>
    <w:p>
      <w:r>
        <w:t>Критерии Normal из «КРИТЕРИИ ПОСАДКИ.docx»: |v_y| ≤ 2 м/с, |v_x| ≤ 0,5 м/с относительно палубы, наклон ≤ 5°. Ход опор — 1,2 м; их жёсткость, демпфирование и геометрия уточняются отдельно. Масса при ударе равна 10 000 кг плюс остаток топлива.</w:t>
      </w:r>
    </w:p>
    <w:p>
      <w:r>
        <w:t>КР 5 и ИТ 1 получают m(t), T_факт(t), TWR(t), расход, запуск и обработку выгорания. В динамике используется g(h) КР 2, в расходе — постоянное g₀ = 9,80665 м/с².</w:t>
      </w:r>
    </w:p>
    <w:p>
      <w:pPr>
        <w:pStyle w:val="Heading2"/>
      </w:pPr>
      <w:r>
        <w:t>Результат проверки</w:t>
      </w:r>
    </w:p>
    <w:p>
      <w:r>
        <w:t>Для 3 500 кг получено 22,882–57,205 с эквивалентной работы и 24,882–59,205 с от команды. Интеграл расхода равен использованному топливу; во всех семи режимах масса ≥ 10 000 кг. Касание проверяется по траектории и модели опор.</w:t>
      </w:r>
    </w:p>
    <w:p>
      <w:pPr>
        <w:pStyle w:val="Heading2"/>
      </w:pPr>
      <w:r>
        <w:t>Источники формул</w:t>
      </w:r>
    </w:p>
    <w:p>
      <w:pPr>
        <w:spacing w:after="60"/>
      </w:pPr>
      <w:hyperlink r:id="rId11">
        <w:r>
          <w:rPr>
            <w:color w:val="255980"/>
            <w:sz w:val="19"/>
          </w:rPr>
          <w:t>[1] NASA — Specific Impulse</w:t>
        </w:r>
      </w:hyperlink>
      <w:r>
        <w:t xml:space="preserve">    </w:t>
      </w:r>
      <w:hyperlink r:id="rId13">
        <w:r>
          <w:rPr>
            <w:color w:val="255980"/>
            <w:sz w:val="19"/>
          </w:rPr>
          <w:t>[2] NASA — Ideal Rocket Equation</w:t>
        </w:r>
      </w:hyperlink>
    </w:p>
    <w:p>
      <w:pPr>
        <w:spacing w:after="60"/>
      </w:pPr>
      <w:hyperlink r:id="rId20">
        <w:r>
          <w:rPr>
            <w:color w:val="255980"/>
            <w:sz w:val="19"/>
          </w:rPr>
          <w:t>[3] NIST — Standard Gravity</w:t>
        </w:r>
      </w:hyperlink>
      <w:r>
        <w:t xml:space="preserve">    </w:t>
      </w:r>
      <w:hyperlink r:id="rId21">
        <w:r>
          <w:rPr>
            <w:color w:val="255980"/>
            <w:sz w:val="19"/>
          </w:rPr>
          <w:t>[4] NASA — Drag Equation</w:t>
        </w:r>
      </w:hyperlink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6" w:lineRule="auto" w:after="110"/>
    </w:pPr>
    <w:rPr>
      <w:rFonts w:ascii="DejaVu Sans" w:hAnsi="DejaVu Sans" w:eastAsia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DejaVu Sans" w:hAnsi="DejaVu Sans" w:eastAsia="DejaVu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</w:pPr>
    <w:rPr>
      <w:rFonts w:ascii="DejaVu Sans" w:hAnsi="DejaVu Sans" w:eastAsia="DejaVu Sans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grc.nasa.gov/www/BGH/specimp.html" TargetMode="External"/><Relationship Id="rId12" Type="http://schemas.openxmlformats.org/officeDocument/2006/relationships/hyperlink" Target="https://www1.grc.nasa.gov/beginners-guide-to-aeronautics/thrust-to-weight-ratio/" TargetMode="External"/><Relationship Id="rId13" Type="http://schemas.openxmlformats.org/officeDocument/2006/relationships/hyperlink" Target="https://www1.grc.nasa.gov/beginners-guide-to-aeronautics/ideal-rocket-equation/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ntrs.nasa.gov/citations/19710014805" TargetMode="External"/><Relationship Id="rId16" Type="http://schemas.openxmlformats.org/officeDocument/2006/relationships/hyperlink" Target="https://arxiv.org/abs/1907.04273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hyperlink" Target="https://physics.nist.gov/cgi-bin/cuu/Value?gn=" TargetMode="External"/><Relationship Id="rId21" Type="http://schemas.openxmlformats.org/officeDocument/2006/relationships/hyperlink" Target="https://www1.grc.nasa.gov/beginners-guide-to-aeronautics/drag-equ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массового баланса и тяговооружённости ракеты</dc:title>
  <dc:subject>КР 3 VTVL 30 т сухая 10 т тяга 450 кН посадочный запас 3500 кг g0 9,80665 м/с² задержка 1,5 с</dc:subject>
  <dc:creator/>
  <cp:keywords>КР-3, массовый баланс, расход топлива, TWR, дросселирование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