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7D7D8">
      <w:pPr>
        <w:pStyle w:val="26"/>
        <w:widowControl/>
      </w:pPr>
      <w:r>
        <w:t>（</w:t>
      </w:r>
      <w:r>
        <w:t>智跃未来</w:t>
      </w:r>
      <w:r>
        <w:t>）</w:t>
      </w:r>
      <w:r>
        <w:br w:type="textWrapping"/>
      </w:r>
      <w:r>
        <w:t>国际学校学生科研辅导·商业宣传册</w:t>
      </w:r>
    </w:p>
    <w:p w14:paraId="61E84240">
      <w:pPr>
        <w:pStyle w:val="19"/>
        <w:widowControl/>
      </w:pPr>
      <w:r>
        <w:t>AI/DS/CS主航线｜跨学科子方向｜SCI/EI研究性论文｜竞赛冲奖｜全流程数字化管理</w:t>
      </w:r>
    </w:p>
    <w:p w14:paraId="0E92D879">
      <w:pPr>
        <w:jc w:val="center"/>
      </w:pPr>
      <w:r>
        <w:rPr>
          <w:i/>
          <w:sz w:val="22"/>
        </w:rPr>
        <w:t>让每位学生完成一次真实、可验证、可复现的科研成长</w:t>
      </w:r>
    </w:p>
    <w:p w14:paraId="07AC8029">
      <w:r>
        <w:br w:type="page"/>
      </w:r>
    </w:p>
    <w:p w14:paraId="78C0F258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｜我们是谁（定位与使命）</w:t>
      </w:r>
    </w:p>
    <w:p w14:paraId="659EF46D">
      <w:pPr>
        <w:pStyle w:val="19"/>
        <w:widowControl/>
      </w:pPr>
      <w:r>
        <w:t>定位： 面向国际学校学生的 AI / 数据科学 / 计算机科学 主航线科研辅导机构，直连高校研究型实验室。</w:t>
      </w:r>
    </w:p>
    <w:p w14:paraId="536AEED4">
      <w:pPr>
        <w:pStyle w:val="19"/>
        <w:widowControl/>
      </w:pPr>
      <w:r>
        <w:t>使命： 以“AI-first”的研究范式，帮助学生完成一次真实、可复现且具有申请影响力的研究。</w:t>
      </w:r>
    </w:p>
    <w:p w14:paraId="6124AE64">
      <w:pPr>
        <w:pStyle w:val="19"/>
        <w:widowControl/>
      </w:pPr>
      <w:r>
        <w:t>业内少见的“研究型实验室对接 + AI/DS/CS 主航线 + 各学科子方向（AI+X）+ 论文与竞赛双引擎 + 平台化过程管理。”的综合科研平台。</w:t>
      </w:r>
    </w:p>
    <w:p w14:paraId="7611674F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｜独家价值主张（Why Us）</w:t>
      </w:r>
    </w:p>
    <w:p w14:paraId="67AC5973">
      <w:pPr>
        <w:pStyle w:val="16"/>
        <w:bidi w:val="0"/>
        <w:ind w:left="360" w:leftChars="0" w:firstLine="480" w:firstLineChars="0"/>
        <w:rPr>
          <w:sz w:val="24"/>
          <w:szCs w:val="24"/>
        </w:rPr>
      </w:pPr>
      <w:r>
        <w:rPr>
          <w:sz w:val="24"/>
          <w:szCs w:val="24"/>
        </w:rPr>
        <w:t>AI-first 科研范式：以机器学习/深度学习/数据科学方法为主轴，统一实验设计、评估与复现实践。</w:t>
      </w:r>
    </w:p>
    <w:p w14:paraId="7DF1C81C">
      <w:pPr>
        <w:pStyle w:val="16"/>
        <w:bidi w:val="0"/>
        <w:ind w:left="360" w:leftChars="0" w:firstLine="480" w:firstLineChars="0"/>
        <w:rPr>
          <w:sz w:val="24"/>
          <w:szCs w:val="24"/>
        </w:rPr>
      </w:pPr>
      <w:r>
        <w:rPr>
          <w:sz w:val="24"/>
          <w:szCs w:val="24"/>
        </w:rPr>
        <w:t>研究性科研项目直连实验室：对接高校研究型实验室/PI团队，基于真实课题与数据集开展研究。</w:t>
      </w:r>
    </w:p>
    <w:p w14:paraId="43424FEB">
      <w:pPr>
        <w:pStyle w:val="16"/>
        <w:bidi w:val="0"/>
        <w:ind w:left="360" w:leftChars="0" w:firstLine="480" w:firstLineChars="0"/>
        <w:rPr>
          <w:sz w:val="24"/>
          <w:szCs w:val="24"/>
        </w:rPr>
      </w:pPr>
      <w:r>
        <w:rPr>
          <w:sz w:val="24"/>
          <w:szCs w:val="24"/>
        </w:rPr>
        <w:t>高含金量成果导向：围绕SCI期刊/EI会议的研究性论文与国际竞赛可验证成果双轮驱动。</w:t>
      </w:r>
    </w:p>
    <w:p w14:paraId="7C517F0E">
      <w:pPr>
        <w:pStyle w:val="16"/>
        <w:bidi w:val="0"/>
        <w:ind w:left="360" w:leftChars="0" w:firstLine="480" w:firstLineChars="0"/>
        <w:rPr>
          <w:sz w:val="24"/>
          <w:szCs w:val="24"/>
        </w:rPr>
      </w:pPr>
      <w:r>
        <w:rPr>
          <w:sz w:val="24"/>
          <w:szCs w:val="24"/>
        </w:rPr>
        <w:t>AI+全学科：传统学科研究范式 × 前沿AI方法，打造跨学科、可迁移的硬实力。</w:t>
      </w:r>
    </w:p>
    <w:p w14:paraId="508647C5">
      <w:pPr>
        <w:pStyle w:val="16"/>
        <w:bidi w:val="0"/>
        <w:ind w:left="360" w:leftChars="0" w:firstLine="480" w:firstLineChars="0"/>
        <w:rPr>
          <w:sz w:val="24"/>
          <w:szCs w:val="24"/>
        </w:rPr>
      </w:pPr>
      <w:r>
        <w:rPr>
          <w:sz w:val="24"/>
          <w:szCs w:val="24"/>
        </w:rPr>
        <w:t>平台化教研：独家授课与项目管理平台，保证过程留痕、数据沉淀、质量可控。</w:t>
      </w:r>
    </w:p>
    <w:p w14:paraId="7A695DC2">
      <w:pPr>
        <w:pStyle w:val="16"/>
        <w:bidi w:val="0"/>
        <w:ind w:left="360" w:leftChars="0" w:firstLine="480" w:firstLineChars="0"/>
      </w:pPr>
      <w:r>
        <w:rPr>
          <w:sz w:val="24"/>
          <w:szCs w:val="24"/>
        </w:rPr>
        <w:t>升学直通车：成果证明 + 导师推荐 + 竞赛奖项，多维支撑海外名校申请材料的“学术深度”。</w:t>
      </w:r>
    </w:p>
    <w:p w14:paraId="4FB1D28D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｜项目体系（研究性科研项目）</w:t>
      </w:r>
    </w:p>
    <w:p w14:paraId="6608DF76">
      <w:pPr>
        <w:pStyle w:val="19"/>
        <w:widowControl/>
        <w:rPr>
          <w:b/>
          <w:bCs/>
        </w:rPr>
      </w:pPr>
      <w:r>
        <w:rPr>
          <w:b/>
          <w:bCs/>
        </w:rPr>
        <w:t>项目形态：</w:t>
      </w:r>
    </w:p>
    <w:p w14:paraId="44B1F715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实验室联合课题：由课题PI给出方向，完成选题→实验/建模→论文写作→投递的全链路。</w:t>
      </w:r>
    </w:p>
    <w:p w14:paraId="7886B0FA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定制化独立课题（AI+X）：以AI/Data science</w:t>
      </w:r>
      <w:r>
        <w:t>/Computer Science</w:t>
      </w:r>
      <w:r>
        <w:t>方法解决某一学科问题，支持个人/小组制。</w:t>
      </w:r>
    </w:p>
    <w:p w14:paraId="084CE4C4">
      <w:pPr>
        <w:pStyle w:val="19"/>
        <w:widowControl/>
      </w:pPr>
      <w:r>
        <w:rPr>
          <w:b/>
          <w:bCs/>
        </w:rPr>
        <w:t>产出形式：</w:t>
      </w:r>
    </w:p>
    <w:p w14:paraId="600E5486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研究性论文：SCI/EI为目标期；提供选刊策略、伦理合规、署名规范工作坊。</w:t>
      </w:r>
    </w:p>
    <w:p w14:paraId="25056FDC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学术展示：海报、口头报告、演示视频与开源代码库。</w:t>
      </w:r>
    </w:p>
    <w:p w14:paraId="677E2DCA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可复现资产：数据卡/模型卡、推理脚本、评测报告、对比基线表。</w:t>
      </w:r>
    </w:p>
    <w:p w14:paraId="058F9F1B">
      <w:pPr>
        <w:pStyle w:val="19"/>
        <w:widowControl/>
        <w:rPr>
          <w:b/>
          <w:bCs/>
        </w:rPr>
      </w:pPr>
      <w:r>
        <w:rPr>
          <w:b/>
          <w:bCs/>
        </w:rPr>
        <w:t>质量控制：</w:t>
      </w:r>
    </w:p>
    <w:p w14:paraId="33F9F821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双导师制（领域导师+方法导师）与关键里程碑Peer Review。</w:t>
      </w:r>
    </w:p>
    <w:p w14:paraId="186302C3">
      <w:pPr>
        <w:pStyle w:val="19"/>
        <w:widowControl/>
        <w:numPr>
          <w:ilvl w:val="0"/>
          <w:numId w:val="8"/>
        </w:numPr>
        <w:ind w:left="360" w:leftChars="0" w:firstLine="480" w:firstLineChars="0"/>
      </w:pPr>
      <w:r>
        <w:t>论文“四审四校”：结构审、方法审、结果审、伦理审；语言与排版终审。</w:t>
      </w:r>
    </w:p>
    <w:p w14:paraId="3F608D55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｜师资与导师网络（全员985/海外名校）</w:t>
      </w:r>
    </w:p>
    <w:p w14:paraId="5991BA6D">
      <w:pPr>
        <w:pStyle w:val="19"/>
        <w:widowControl/>
        <w:numPr>
          <w:ilvl w:val="0"/>
          <w:numId w:val="9"/>
        </w:numPr>
        <w:ind w:left="360" w:leftChars="0" w:firstLine="480" w:firstLineChars="0"/>
      </w:pPr>
      <w:r>
        <w:t>背景构成：985与海外名校博士/硕士、在站博士后、行业资深研究员。</w:t>
      </w:r>
    </w:p>
    <w:p w14:paraId="577F24DA">
      <w:pPr>
        <w:pStyle w:val="19"/>
        <w:widowControl/>
        <w:numPr>
          <w:ilvl w:val="0"/>
          <w:numId w:val="9"/>
        </w:numPr>
        <w:ind w:left="360" w:leftChars="0" w:firstLine="480" w:firstLineChars="0"/>
      </w:pPr>
      <w:r>
        <w:t>导师角色：PI合作导师（课题方向把关）/方法导师（算法与建模）/写作与发表教练（英文写作与投稿规范）。</w:t>
      </w:r>
    </w:p>
    <w:p w14:paraId="65CDA58F">
      <w:pPr>
        <w:pStyle w:val="19"/>
        <w:widowControl/>
        <w:numPr>
          <w:ilvl w:val="0"/>
          <w:numId w:val="9"/>
        </w:numPr>
        <w:ind w:left="360" w:leftChars="0" w:firstLine="480" w:firstLineChars="0"/>
      </w:pPr>
      <w:r>
        <w:t>导师匹配机制：依据学生兴趣、基础、时间线与目标期刊匹配导师池，支持跨时区授课。</w:t>
      </w:r>
    </w:p>
    <w:p w14:paraId="3211C43F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｜学科结构与路线图（AI/DS/CS 主航线 + X 子方向）</w:t>
      </w:r>
    </w:p>
    <w:p w14:paraId="42874299">
      <w:pPr>
        <w:pStyle w:val="19"/>
        <w:widowControl/>
      </w:pPr>
      <w:r>
        <w:rPr>
          <w:b/>
        </w:rPr>
        <w:t>主航线能力图谱：</w:t>
      </w:r>
    </w:p>
    <w:p w14:paraId="3B41A2E0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基础：Python编程、数据结构与算法、线性代数、概率统计、微积分。</w:t>
      </w:r>
    </w:p>
    <w:p w14:paraId="4D748D84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核心：机器学习、深度学习、NLP、计算机视觉、时间序列、因果推断、图学习、强化学习。</w:t>
      </w:r>
    </w:p>
    <w:p w14:paraId="68054D00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工程：数据工程、MLOps、实验追踪与可视化、云计算与容器化、加速与并行计算、A/B评估。</w:t>
      </w:r>
    </w:p>
    <w:p w14:paraId="7850B7BB">
      <w:pPr>
        <w:pStyle w:val="19"/>
        <w:widowControl/>
        <w:rPr>
          <w:b/>
        </w:rPr>
      </w:pPr>
      <w:r>
        <w:rPr>
          <w:b/>
        </w:rPr>
        <w:t>研究路径（三轨并行可选）：</w:t>
      </w:r>
    </w:p>
    <w:p w14:paraId="4701AB7C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研究型轨：以顶会/顶刊为标杆，强调方法创新与严谨评估。</w:t>
      </w:r>
    </w:p>
    <w:p w14:paraId="3766C123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应用型轨：聚焦真实业务/社会问题求解，强调可落地性与影响力。</w:t>
      </w:r>
    </w:p>
    <w:p w14:paraId="41DF082E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竞赛型轨：Kaggle/MCM/ACM等赛道集训与冲奖，沉淀为作品集与论文草稿。</w:t>
      </w:r>
    </w:p>
    <w:p w14:paraId="1652D9BB">
      <w:pPr>
        <w:pStyle w:val="19"/>
        <w:widowControl/>
        <w:rPr>
          <w:b/>
        </w:rPr>
      </w:pPr>
      <w:r>
        <w:rPr>
          <w:b/>
        </w:rPr>
        <w:t>跨学科子方向（AI+X 示例）：</w:t>
      </w:r>
    </w:p>
    <w:p w14:paraId="0A181747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AI+生物医学：多组学数据融合、药物再利用、医学影像分割与检测。</w:t>
      </w:r>
    </w:p>
    <w:p w14:paraId="311C34BE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AI+金融：量化因子、风控与欺诈检测、强化学习交易策略回测。</w:t>
      </w:r>
    </w:p>
    <w:p w14:paraId="14BEC372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AI+数学：优化与数值计算、组合搜索、PDE方程数据驱动解。</w:t>
      </w:r>
    </w:p>
    <w:p w14:paraId="4FFB105A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AI+建筑：生成式形态优化、能耗预测、BIM数据挖掘。</w:t>
      </w:r>
    </w:p>
    <w:p w14:paraId="39C1660B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AI+传播/历史/社会科学：文本挖掘、叙事分析、舆情与扩散建模。</w:t>
      </w:r>
    </w:p>
    <w:p w14:paraId="09523080">
      <w:pPr>
        <w:pStyle w:val="19"/>
        <w:widowControl/>
        <w:numPr>
          <w:ilvl w:val="0"/>
          <w:numId w:val="10"/>
        </w:numPr>
        <w:ind w:left="360" w:leftChars="0" w:firstLine="480" w:firstLineChars="0"/>
      </w:pPr>
      <w:r>
        <w:t>AI+环境与工程：污染监测预测、遥感影像、时空数据建模。</w:t>
      </w:r>
    </w:p>
    <w:p w14:paraId="3C99C47E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｜独家授课与数字化平台</w:t>
      </w:r>
    </w:p>
    <w:p w14:paraId="1099A8CD">
      <w:pPr>
        <w:pStyle w:val="19"/>
        <w:widowControl/>
        <w:rPr>
          <w:b/>
          <w:bCs/>
        </w:rPr>
      </w:pPr>
      <w:r>
        <w:rPr>
          <w:b/>
          <w:bCs/>
        </w:rPr>
        <w:t>功能模块：</w:t>
      </w:r>
    </w:p>
    <w:p w14:paraId="2A6572AD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t>项目看板：Gantt/燃尽图/风险预警；OKR与里程碑追踪。</w:t>
      </w:r>
    </w:p>
    <w:p w14:paraId="54DF8A45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t>数据与代码仓：版本控制、算力监控、实验记录可追溯。</w:t>
      </w:r>
    </w:p>
    <w:p w14:paraId="15A618D4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t>学术规范中心（IRB基础、伦理合规、引文检测、图像/数据处理规范）。</w:t>
      </w:r>
    </w:p>
    <w:p w14:paraId="14B100BB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t>论文工单流（结构-方法-结果-讨论-润色节点）。</w:t>
      </w:r>
    </w:p>
    <w:p w14:paraId="4589DE1C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t>家校沟通与周报系统（可视化进度、风险预警）。</w:t>
      </w:r>
    </w:p>
    <w:p w14:paraId="6D039129">
      <w:pPr>
        <w:pStyle w:val="19"/>
        <w:widowControl/>
      </w:pPr>
      <w:r>
        <w:t>结果导向指标（OKR）：课题可复现率、代码覆盖率、投递合规率、评审通过率、竞赛得奖率等。</w:t>
      </w:r>
    </w:p>
    <w:p w14:paraId="4D3AAD04">
      <w:pPr>
        <w:pStyle w:val="3"/>
        <w:numPr>
          <w:ilvl w:val="0"/>
          <w:numId w:val="7"/>
        </w:numPr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｜国际竞赛接轨（50+</w:t>
      </w:r>
      <w:r>
        <w:rPr>
          <w:rFonts w:hint="eastAsia"/>
          <w:lang w:val="en-US" w:eastAsia="zh-CN"/>
        </w:rPr>
        <w:t>竞赛</w:t>
      </w:r>
      <w:r>
        <w:t>覆盖，金牌导师带队）</w:t>
      </w:r>
    </w:p>
    <w:p w14:paraId="41BDB4A6">
      <w:pPr>
        <w:pStyle w:val="19"/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</w:t>
      </w:r>
      <w:r>
        <w:rPr>
          <w:rStyle w:val="134"/>
          <w:rFonts w:ascii="宋体" w:hAnsi="宋体" w:eastAsia="宋体" w:cs="宋体"/>
          <w:sz w:val="24"/>
          <w:szCs w:val="24"/>
        </w:rPr>
        <w:t>50+国际学科竞赛</w:t>
      </w:r>
      <w:r>
        <w:rPr>
          <w:rFonts w:ascii="宋体" w:hAnsi="宋体" w:eastAsia="宋体" w:cs="宋体"/>
          <w:sz w:val="24"/>
          <w:szCs w:val="24"/>
        </w:rPr>
        <w:t>的参赛机会，帮助学生通过竞赛提升科研能力和实践经验，为申请海外名校积累实质性成果。每个竞赛项目都结合实际科研训练，获奖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同时</w:t>
      </w:r>
      <w:r>
        <w:rPr>
          <w:rFonts w:ascii="宋体" w:hAnsi="宋体" w:eastAsia="宋体" w:cs="宋体"/>
          <w:sz w:val="24"/>
          <w:szCs w:val="24"/>
        </w:rPr>
        <w:t>掌握研究方法、问题解决与团队协作的能力。</w:t>
      </w:r>
    </w:p>
    <w:p w14:paraId="5488688C">
      <w:pPr>
        <w:pStyle w:val="19"/>
        <w:widowControl/>
        <w:rPr>
          <w:rFonts w:hint="eastAsia" w:ascii="宋体" w:hAnsi="宋体" w:cs="宋体"/>
          <w:sz w:val="24"/>
          <w:szCs w:val="24"/>
          <w:lang w:eastAsia="zh-CN"/>
        </w:rPr>
      </w:pPr>
      <w:r>
        <w:rPr>
          <w:b/>
          <w:bCs/>
        </w:rPr>
        <w:t>竞赛谱系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：</w:t>
      </w:r>
    </w:p>
    <w:p w14:paraId="76687ED3">
      <w:pPr>
        <w:pStyle w:val="19"/>
        <w:widowControl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Kaggle、ACM-ICPC、IEEE Data Mining Cup、KDD Cup、Data Science Bowl、MCM/ICM、iGEM（软件队）、AMC、AIME、Regeneron ISEF、Bioinformatics挑战、Robotics等（按学生基础分流</w:t>
      </w:r>
    </w:p>
    <w:p w14:paraId="16DAD15F">
      <w:pPr>
        <w:pStyle w:val="19"/>
        <w:widowControl/>
        <w:rPr>
          <w:b w:val="0"/>
          <w:sz w:val="24"/>
          <w:szCs w:val="24"/>
        </w:rPr>
      </w:pPr>
      <w:r>
        <w:rPr>
          <w:b/>
          <w:bCs/>
          <w:sz w:val="24"/>
          <w:szCs w:val="24"/>
        </w:rPr>
        <w:t>竞赛项目化支持流程：</w:t>
      </w:r>
    </w:p>
    <w:p w14:paraId="28910A32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  <w:lang w:val="en-US" w:eastAsia="zh-CN"/>
        </w:rPr>
        <w:t>选题与规划：与导师一起选择合适的竞赛赛道，明确项目目标与路径，指定详细的项目计划书</w:t>
      </w:r>
    </w:p>
    <w:p w14:paraId="78E225D6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</w:rPr>
        <w:t>项目执行与辅导：金牌导师全程辅导，提供技术支持与方法指导，确保每个阶段按时完成。</w:t>
      </w:r>
    </w:p>
    <w:p w14:paraId="19129BC5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</w:rPr>
        <w:t>中期评估与优化：定期检查进度，提供技术优化建议，确保项目方向和质量不偏离。</w:t>
      </w:r>
    </w:p>
    <w:p w14:paraId="2286E946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</w:rPr>
        <w:t>模拟答辩与演讲训练：提供模拟答辩与演讲培训，帮助学生提升展示与答辩能力。</w:t>
      </w:r>
    </w:p>
    <w:p w14:paraId="4D179B29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</w:rPr>
        <w:t>冲奖辅导与成果展示：定制冲奖策略，辅导学生优化研究成果，提升获奖机会。</w:t>
      </w:r>
    </w:p>
    <w:p w14:paraId="03E0A110">
      <w:pPr>
        <w:pStyle w:val="19"/>
        <w:widowControl/>
        <w:numPr>
          <w:ilvl w:val="0"/>
          <w:numId w:val="11"/>
        </w:numPr>
        <w:ind w:left="360" w:leftChars="0" w:firstLine="480" w:firstLineChars="0"/>
      </w:pPr>
      <w:r>
        <w:rPr>
          <w:rFonts w:hint="eastAsia"/>
        </w:rPr>
        <w:t>赛后复盘与成果转化：赛后总结经验，帮助学生将竞赛成果转化，完善作品集。</w:t>
      </w:r>
    </w:p>
    <w:p w14:paraId="0C88E95E">
      <w:pPr>
        <w:pStyle w:val="3"/>
        <w:numPr>
          <w:ilvl w:val="0"/>
          <w:numId w:val="12"/>
        </w:numPr>
        <w:ind w:left="360" w:leftChars="0" w:hanging="360" w:firstLineChars="0"/>
      </w:pPr>
      <w:r>
        <w:t>8</w:t>
      </w:r>
      <w:r>
        <w:t>｜标准流程（SOP与里程碑）</w:t>
      </w:r>
    </w:p>
    <w:p w14:paraId="1406971E">
      <w:pPr>
        <w:pStyle w:val="19"/>
        <w:widowControl/>
      </w:pPr>
      <w:r>
        <w:t>1.1. 科研潜力评估（背景、兴趣、时间线、目标产出）</w:t>
      </w:r>
    </w:p>
    <w:p w14:paraId="6EA334A3">
      <w:pPr>
        <w:pStyle w:val="19"/>
        <w:widowControl/>
      </w:pPr>
      <w:r>
        <w:t>2.2. 方向匹配与题目共创（实验室/导师确认）</w:t>
      </w:r>
    </w:p>
    <w:p w14:paraId="33FE0D3C">
      <w:pPr>
        <w:pStyle w:val="19"/>
        <w:widowControl/>
      </w:pPr>
      <w:r>
        <w:t>3.3. 研究计划书（Proposal）审定与伦理合规检查</w:t>
      </w:r>
    </w:p>
    <w:p w14:paraId="136ED75F">
      <w:pPr>
        <w:pStyle w:val="19"/>
        <w:widowControl/>
      </w:pPr>
      <w:r>
        <w:t>4.4. 数据/材料准备与基线模型构建</w:t>
      </w:r>
    </w:p>
    <w:p w14:paraId="419CF758">
      <w:pPr>
        <w:pStyle w:val="19"/>
        <w:widowControl/>
      </w:pPr>
      <w:r>
        <w:t>5.5. 正式实验/建模与中期Peer Review</w:t>
      </w:r>
    </w:p>
    <w:p w14:paraId="23C3DC8A">
      <w:pPr>
        <w:pStyle w:val="19"/>
        <w:widowControl/>
      </w:pPr>
      <w:r>
        <w:t>6.6. 结果分析与可视化</w:t>
      </w:r>
    </w:p>
    <w:p w14:paraId="2118C5CE">
      <w:pPr>
        <w:pStyle w:val="19"/>
        <w:widowControl/>
      </w:pPr>
      <w:r>
        <w:t>7.7. 论文写作与反复内审（四审四校）</w:t>
      </w:r>
    </w:p>
    <w:p w14:paraId="33410BB2">
      <w:pPr>
        <w:pStyle w:val="19"/>
        <w:widowControl/>
      </w:pPr>
      <w:r>
        <w:t>8.8. 期刊/会议投递策略与流程管理</w:t>
      </w:r>
    </w:p>
    <w:p w14:paraId="03CCB8F2">
      <w:pPr>
        <w:pStyle w:val="19"/>
        <w:widowControl/>
      </w:pPr>
      <w:r>
        <w:t>9.9. 竞赛参赛与冲奖辅导（可并行）</w:t>
      </w:r>
    </w:p>
    <w:p w14:paraId="210C1932">
      <w:pPr>
        <w:pStyle w:val="19"/>
        <w:widowControl/>
      </w:pPr>
      <w:r>
        <w:t>10.10. 成果归档与申请材料打包（推荐信要点、学术陈述）</w:t>
      </w:r>
    </w:p>
    <w:p w14:paraId="63FC0DC5">
      <w:pPr>
        <w:pStyle w:val="3"/>
        <w:numPr>
          <w:ilvl w:val="0"/>
          <w:numId w:val="12"/>
        </w:numPr>
        <w:ind w:left="360" w:leftChars="0" w:hanging="360" w:firstLineChars="0"/>
      </w:pPr>
      <w:r>
        <w:t>9</w:t>
      </w:r>
      <w:r>
        <w:t>｜成果与背书（素材库模板）</w:t>
      </w:r>
    </w:p>
    <w:p w14:paraId="6CC7B1AB">
      <w:pPr>
        <w:pStyle w:val="19"/>
        <w:widowControl/>
        <w:numPr>
          <w:ilvl w:val="0"/>
          <w:numId w:val="13"/>
        </w:numPr>
        <w:ind w:left="360" w:leftChars="0" w:firstLine="480" w:firstLineChars="0"/>
      </w:pPr>
      <w:r>
        <w:t>论文/会议：摘要、方法、结果图、链接与DOI（投递/录用节点分开展示）。</w:t>
      </w:r>
    </w:p>
    <w:p w14:paraId="432AC107">
      <w:pPr>
        <w:pStyle w:val="19"/>
        <w:widowControl/>
        <w:numPr>
          <w:ilvl w:val="0"/>
          <w:numId w:val="13"/>
        </w:numPr>
        <w:ind w:left="360" w:leftChars="0" w:firstLine="480" w:firstLineChars="0"/>
      </w:pPr>
      <w:r>
        <w:t>竞赛奖项：奖项证书、排名/分数、作品仓库链接。</w:t>
      </w:r>
    </w:p>
    <w:p w14:paraId="116A18DE">
      <w:pPr>
        <w:pStyle w:val="19"/>
        <w:widowControl/>
        <w:numPr>
          <w:ilvl w:val="0"/>
          <w:numId w:val="13"/>
        </w:numPr>
        <w:ind w:left="360" w:leftChars="0" w:firstLine="480" w:firstLineChars="0"/>
      </w:pPr>
      <w:r>
        <w:t>推荐信与评语：导师评价要点与能力画像（研究动机、独立性、合作与领导力）。</w:t>
      </w:r>
    </w:p>
    <w:p w14:paraId="19F34628">
      <w:pPr>
        <w:pStyle w:val="19"/>
        <w:widowControl/>
        <w:numPr>
          <w:ilvl w:val="0"/>
          <w:numId w:val="13"/>
        </w:numPr>
        <w:ind w:left="360" w:leftChars="0" w:firstLine="480" w:firstLineChars="0"/>
      </w:pPr>
      <w:r>
        <w:t>作品集：个人可视化科研网站、海报、演示视频、代码/数据卡。</w:t>
      </w:r>
    </w:p>
    <w:p w14:paraId="63AEE4DF">
      <w:pPr>
        <w:pStyle w:val="19"/>
        <w:numPr>
          <w:ilvl w:val="0"/>
          <w:numId w:val="12"/>
        </w:numPr>
        <w:ind w:left="360" w:leftChars="0" w:hanging="360" w:firstLine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10｜常见问题（FAQ）</w:t>
      </w:r>
    </w:p>
    <w:p w14:paraId="0BCB741F">
      <w:pPr>
        <w:pStyle w:val="19"/>
        <w:widowControl/>
      </w:pPr>
      <w:r>
        <w:t>Q：没有编程基础能做A</w:t>
      </w:r>
      <w:r>
        <w:rPr>
          <w:rFonts w:hint="eastAsia"/>
          <w:lang w:val="en-US" w:eastAsia="zh-CN"/>
        </w:rPr>
        <w:t>I</w:t>
      </w:r>
      <w:r>
        <w:t>+项目吗？</w:t>
      </w:r>
    </w:p>
    <w:p w14:paraId="474612C2">
      <w:pPr>
        <w:pStyle w:val="19"/>
        <w:widowControl/>
        <w:numPr>
          <w:ilvl w:val="0"/>
          <w:numId w:val="14"/>
        </w:numPr>
        <w:ind w:firstLine="480" w:firstLineChars="200"/>
      </w:pPr>
      <w:r>
        <w:t>A：可以。提供速成方法营与可视化工具链，逐步过渡到代码实现。</w:t>
      </w:r>
    </w:p>
    <w:p w14:paraId="1FA048C0">
      <w:pPr>
        <w:pStyle w:val="19"/>
        <w:widowControl/>
      </w:pPr>
      <w:r>
        <w:t>Q：多久能看到成果？</w:t>
      </w:r>
    </w:p>
    <w:p w14:paraId="04712E6F">
      <w:pPr>
        <w:pStyle w:val="19"/>
        <w:widowControl/>
        <w:numPr>
          <w:ilvl w:val="0"/>
          <w:numId w:val="14"/>
        </w:numPr>
        <w:ind w:firstLine="480" w:firstLineChars="200"/>
      </w:pPr>
      <w:r>
        <w:t>A：以里程碑为准；论文与竞赛周期不同，通常需12–24周以上完整周期。</w:t>
      </w:r>
    </w:p>
    <w:p w14:paraId="7A14ECEF">
      <w:pPr>
        <w:pStyle w:val="19"/>
        <w:widowControl/>
      </w:pPr>
      <w:r>
        <w:t>Q：如何证明成果真实？</w:t>
      </w:r>
    </w:p>
    <w:p w14:paraId="3A912BCE">
      <w:pPr>
        <w:pStyle w:val="19"/>
        <w:widowControl/>
        <w:numPr>
          <w:ilvl w:val="0"/>
          <w:numId w:val="14"/>
        </w:numPr>
        <w:ind w:firstLine="480" w:firstLineChars="200"/>
        <w:rPr>
          <w:b w:val="0"/>
          <w:color w:val="000000"/>
        </w:rPr>
      </w:pPr>
      <w:r>
        <w:t>A：</w:t>
      </w:r>
      <w:r>
        <w:rPr>
          <w:rFonts w:hint="eastAsia"/>
          <w:lang w:val="en-US" w:eastAsia="zh-CN"/>
        </w:rPr>
        <w:t>平台流痕、代码与数据可复现、导师评估与第三方背书</w:t>
      </w:r>
    </w:p>
    <w:p w14:paraId="2A1FDE62">
      <w:pPr>
        <w:pStyle w:val="19"/>
        <w:numPr>
          <w:ilvl w:val="0"/>
          <w:numId w:val="12"/>
        </w:numPr>
        <w:ind w:left="360" w:leftChars="0" w:hanging="360" w:firstLineChars="0"/>
        <w:rPr>
          <w:rFonts w:hint="eastAsia" w:eastAsia="宋体"/>
          <w:lang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1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t>｜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联系与下一步</w:t>
      </w:r>
    </w:p>
    <w:p w14:paraId="3D29D18E">
      <w:pPr>
        <w:pStyle w:val="19"/>
        <w:widowControl/>
        <w:numPr>
          <w:ilvl w:val="0"/>
          <w:numId w:val="15"/>
        </w:numPr>
        <w:ind w:left="360" w:leftChars="0" w:firstLine="480" w:firstLineChars="0"/>
      </w:pPr>
      <w:r>
        <w:t>预约一对一学术规划：扫描二维码或添加顾问微信（占位符）。</w:t>
      </w:r>
    </w:p>
    <w:p w14:paraId="73DD2582">
      <w:pPr>
        <w:pStyle w:val="19"/>
        <w:widowControl/>
        <w:numPr>
          <w:ilvl w:val="0"/>
          <w:numId w:val="15"/>
        </w:numPr>
        <w:ind w:left="360" w:leftChars="0" w:firstLine="480" w:firstLineChars="0"/>
      </w:pPr>
      <w:r>
        <w:t>申请科研潜力评估：提交简历、成绩单与兴趣方向。</w:t>
      </w:r>
    </w:p>
    <w:p w14:paraId="78999585">
      <w:pPr>
        <w:pStyle w:val="19"/>
        <w:widowControl/>
        <w:numPr>
          <w:ilvl w:val="0"/>
          <w:numId w:val="16"/>
        </w:numPr>
        <w:ind w:left="360" w:leftChars="0" w:firstLine="480" w:firstLineChars="0"/>
      </w:pPr>
      <w:r>
        <w:t>开题前准备清单：入门阅读材料、工具安装指南、数据合规声明。</w:t>
      </w:r>
    </w:p>
    <w:p w14:paraId="2E2EE055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jc w:val="both"/>
      </w:pPr>
    </w:p>
    <w:p w14:paraId="1496420B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jc w:val="both"/>
      </w:pPr>
    </w:p>
    <w:p w14:paraId="6144375B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品牌背书：</w:t>
      </w:r>
    </w:p>
    <w:p w14:paraId="0E62D5FC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6360" cy="1356360"/>
            <wp:effectExtent l="0" t="0" r="1524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drawing>
          <wp:inline distT="0" distB="0" distL="114300" distR="114300">
            <wp:extent cx="2006600" cy="1355725"/>
            <wp:effectExtent l="0" t="0" r="0" b="0"/>
            <wp:docPr id="2" name="图片 2" descr="99a719904c6c0521475b87e39c65c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a719904c6c0521475b87e39c65c6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bCs/>
          <w:lang w:val="en-US" w:eastAsia="zh-CN"/>
        </w:rPr>
        <w:drawing>
          <wp:inline distT="0" distB="0" distL="114300" distR="114300">
            <wp:extent cx="1226820" cy="1226820"/>
            <wp:effectExtent l="0" t="0" r="11430" b="0"/>
            <wp:docPr id="3" name="图片 3" descr="3ef83b8b6136464bf62f2553fdc33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f83b8b6136464bf62f2553fdc334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C22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ind w:firstLine="1446" w:firstLineChars="6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中国计算机学会                OSADL实验室           OpenHarmony Club</w:t>
      </w:r>
    </w:p>
    <w:p w14:paraId="2951D7A0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ind w:firstLine="482" w:firstLineChars="20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59815" cy="1059815"/>
            <wp:effectExtent l="0" t="0" r="6985" b="6985"/>
            <wp:docPr id="5" name="图片 5" descr="473caa608e329afc31b5f2268c360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73caa608e329afc31b5f2268c36016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                                  </w:t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99185" cy="1045845"/>
            <wp:effectExtent l="0" t="0" r="5715" b="1905"/>
            <wp:docPr id="6" name="图片 6" descr="c964cec5be27f3c0e4d68dd06a1bc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964cec5be27f3c0e4d68dd06a1bcc3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915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ind w:firstLine="1205" w:firstLineChars="5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Dslab国家 LINUX 技术培训与推广中心              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   开源社区</w:t>
      </w:r>
    </w:p>
    <w:p w14:paraId="0F5A15BE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ind w:firstLine="482" w:firstLineChars="20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62100" cy="929640"/>
            <wp:effectExtent l="0" t="0" r="0" b="3810"/>
            <wp:docPr id="7" name="图片 7" descr="ed74b4298504f326ec17d91e129ab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d74b4298504f326ec17d91e129ab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1DC">
      <w:pPr>
        <w:pStyle w:val="19"/>
        <w:widowControl/>
        <w:numPr>
          <w:numId w:val="0"/>
        </w:numPr>
        <w:tabs>
          <w:tab w:val="left" w:pos="360"/>
        </w:tabs>
        <w:adjustRightInd w:val="0"/>
        <w:spacing w:before="100" w:after="100" w:afterLines="0" w:afterAutospacing="0" w:line="300" w:lineRule="auto"/>
        <w:ind w:firstLine="4337" w:firstLineChars="18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GDG Lanzhou</w:t>
      </w:r>
    </w:p>
    <w:sectPr>
      <w:pgSz w:w="12240" w:h="15840"/>
      <w:pgMar w:top="1134" w:right="1247" w:bottom="1134" w:left="124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4F022"/>
    <w:multiLevelType w:val="singleLevel"/>
    <w:tmpl w:val="8F84F022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1">
    <w:nsid w:val="BAD73051"/>
    <w:multiLevelType w:val="singleLevel"/>
    <w:tmpl w:val="BAD73051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2">
    <w:nsid w:val="C8BB0BF0"/>
    <w:multiLevelType w:val="singleLevel"/>
    <w:tmpl w:val="C8BB0BF0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C7A5ED1"/>
    <w:multiLevelType w:val="singleLevel"/>
    <w:tmpl w:val="2C7A5ED1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10">
    <w:nsid w:val="30BEA85E"/>
    <w:multiLevelType w:val="singleLevel"/>
    <w:tmpl w:val="30BEA85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</w:abstractNum>
  <w:abstractNum w:abstractNumId="11">
    <w:nsid w:val="41B856A0"/>
    <w:multiLevelType w:val="singleLevel"/>
    <w:tmpl w:val="41B856A0"/>
    <w:lvl w:ilvl="0" w:tentative="0">
      <w:start w:val="0"/>
      <w:numFmt w:val="bullet"/>
      <w:pStyle w:val="16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12">
    <w:nsid w:val="4CBE4ECE"/>
    <w:multiLevelType w:val="singleLevel"/>
    <w:tmpl w:val="4CBE4ECE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13">
    <w:nsid w:val="69AD353F"/>
    <w:multiLevelType w:val="singleLevel"/>
    <w:tmpl w:val="69AD353F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abstractNum w:abstractNumId="14">
    <w:nsid w:val="6DFFD592"/>
    <w:multiLevelType w:val="singleLevel"/>
    <w:tmpl w:val="6DFFD592"/>
    <w:lvl w:ilvl="0" w:tentative="0">
      <w:start w:val="1"/>
      <w:numFmt w:val="bullet"/>
      <w:suff w:val="space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78ED9AA1"/>
    <w:multiLevelType w:val="singleLevel"/>
    <w:tmpl w:val="78ED9AA1"/>
    <w:lvl w:ilvl="0" w:tentative="0">
      <w:start w:val="0"/>
      <w:numFmt w:val="bullet"/>
      <w:suff w:val="space"/>
      <w:lvlText w:val=""/>
      <w:lvlJc w:val="left"/>
      <w:pPr>
        <w:tabs>
          <w:tab w:val="left" w:pos="360"/>
        </w:tabs>
        <w:ind w:left="360" w:firstLine="480"/>
      </w:pPr>
      <w:rPr>
        <w:rFonts w:hint="default" w:ascii="Symbol" w:hAnsi="Symbol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BA455D"/>
    <w:rsid w:val="41961147"/>
    <w:rsid w:val="45FB325E"/>
    <w:rsid w:val="4E6301AA"/>
    <w:rsid w:val="60E971CC"/>
    <w:rsid w:val="629D55EB"/>
    <w:rsid w:val="6FEF5D43"/>
    <w:rsid w:val="7202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next w:val="1"/>
    <w:link w:val="139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1"/>
    <w:link w:val="140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1"/>
    <w:link w:val="141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1"/>
    <w:link w:val="151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1"/>
    <w:link w:val="152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1"/>
    <w:link w:val="153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1"/>
    <w:link w:val="154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1"/>
    <w:link w:val="155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1"/>
    <w:link w:val="15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ind w:firstLine="480"/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link w:val="145"/>
    <w:unhideWhenUsed/>
    <w:qFormat/>
    <w:uiPriority w:val="99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next w:val="1"/>
    <w:link w:val="143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next w:val="1"/>
    <w:link w:val="142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2E54A1" w:themeColor="accent1" w:themeShade="BF"/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C65F10" w:themeColor="accent2" w:themeShade="BF"/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B68C02" w:themeColor="accent3" w:themeShade="BF"/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588E32" w:themeColor="accent4" w:themeShade="BF"/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249087" w:themeColor="accent5" w:themeShade="BF"/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C81D31" w:themeColor="accent6" w:themeShade="BF"/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1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  <w:shd w:val="clear" w:color="auto" w:fill="D1DCF2" w:themeFill="accent1" w:themeFillTint="3F"/>
      </w:tcPr>
    </w:tblStylePr>
    <w:tblStylePr w:type="band2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1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  <w:shd w:val="clear" w:color="auto" w:fill="FAE0CB" w:themeFill="accent2" w:themeFillTint="3F"/>
      </w:tcPr>
    </w:tblStylePr>
    <w:tblStylePr w:type="band2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1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  <w:shd w:val="clear" w:color="auto" w:fill="FEEFBD" w:themeFill="accent3" w:themeFillTint="3F"/>
      </w:tcPr>
    </w:tblStylePr>
    <w:tblStylePr w:type="band2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1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  <w:shd w:val="clear" w:color="auto" w:fill="DCEED0" w:themeFill="accent4" w:themeFillTint="3F"/>
      </w:tcPr>
    </w:tblStylePr>
    <w:tblStylePr w:type="band2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1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  <w:shd w:val="clear" w:color="auto" w:fill="C9F1EE" w:themeFill="accent5" w:themeFillTint="3F"/>
      </w:tcPr>
    </w:tblStylePr>
    <w:tblStylePr w:type="band2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1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  <w:shd w:val="clear" w:color="auto" w:fill="F8D2D7" w:themeFill="accent6" w:themeFillTint="3F"/>
      </w:tcPr>
    </w:tblStylePr>
    <w:tblStylePr w:type="band2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596D8" w:themeColor="accent1" w:themeTint="BF" w:sz="8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96D8" w:themeColor="accent1" w:themeTint="BF" w:sz="6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2A163" w:themeColor="accent2" w:themeTint="BF" w:sz="8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A163" w:themeColor="accent2" w:themeTint="BF" w:sz="6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DCF39" w:themeColor="accent3" w:themeTint="BF" w:sz="8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DCF39" w:themeColor="accent3" w:themeTint="BF" w:sz="6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7CD71" w:themeColor="accent4" w:themeTint="BF" w:sz="8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71" w:themeColor="accent4" w:themeTint="BF" w:sz="6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D6CC" w:themeColor="accent5" w:themeTint="BF" w:sz="8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D6CC" w:themeColor="accent5" w:themeTint="BF" w:sz="6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1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B7886" w:themeColor="accent6" w:themeTint="BF" w:sz="8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7886" w:themeColor="accent6" w:themeTint="BF" w:sz="6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874CB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shd w:val="clear" w:color="auto" w:fill="D1DCF2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E822F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shd w:val="clear" w:color="auto" w:fill="FAE0CB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BA02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shd w:val="clear" w:color="auto" w:fill="FEEFBD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42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shd w:val="clear" w:color="auto" w:fill="DCEED0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C0B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shd w:val="clear" w:color="auto" w:fill="C9F1EE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4C5E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shd w:val="clear" w:color="auto" w:fill="F8D2D7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874C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874CB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874C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874C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E822F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E822F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E822F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2BA02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BA0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BA0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5BD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30C0B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C0B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C0B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1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54C5E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4C5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4C5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  <w:insideV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596D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  <w:insideV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A16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  <w:insideV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DCF3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  <w:insideV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7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  <w:insideV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D6C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  <w:insideV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788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1F9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4" w:themeFill="accent1" w:themeFillTint="33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3B9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C09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8E5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A" w:themeFill="accent3" w:themeFillTint="33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DF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8E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9" w:themeFill="accent4" w:themeFillTint="33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ADE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4F1" w:themeFill="accent5" w:themeFillTint="33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EDEF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DE" w:themeFill="accent6" w:themeFillTint="33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2A5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3B9E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3B9E5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C09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C097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DF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DF7B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A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ADEA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E4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E4DD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A5A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2A5AE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874C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37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54A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82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33F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E1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BA0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B0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E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D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0C0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75F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38F8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4C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13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1C3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438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438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380" w:themeFill="accent1" w:themeFillShade="99"/>
      </w:tcPr>
    </w:tblStylePr>
    <w:tblStylePr w:type="band1Vert">
      <w:tblPr/>
      <w:tcPr>
        <w:shd w:val="clear" w:color="auto" w:fill="B5C7EA" w:themeFill="accent1" w:themeFillTint="66"/>
      </w:tcPr>
    </w:tblStylePr>
    <w:tblStylePr w:type="band1Horz">
      <w:tblPr/>
      <w:tcPr>
        <w:shd w:val="clear" w:color="auto" w:fill="A3B9E5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EE822F" w:themeColor="accent2" w:sz="4" w:space="0"/>
        <w:bottom w:val="single" w:color="EE822F" w:themeColor="accent2" w:sz="4" w:space="0"/>
        <w:right w:val="single" w:color="EE822F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E4B0C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E4B0C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B0C" w:themeFill="accent2" w:themeFillShade="99"/>
      </w:tcPr>
    </w:tblStylePr>
    <w:tblStylePr w:type="band1Vert">
      <w:tblPr/>
      <w:tcPr>
        <w:shd w:val="clear" w:color="auto" w:fill="F8CCAB" w:themeFill="accent2" w:themeFillTint="66"/>
      </w:tcPr>
    </w:tblStylePr>
    <w:tblStylePr w:type="band1Horz">
      <w:tblPr/>
      <w:tcPr>
        <w:shd w:val="clear" w:color="auto" w:fill="F6C097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24" w:space="0"/>
        <w:left w:val="single" w:color="F2BA02" w:themeColor="accent3" w:sz="4" w:space="0"/>
        <w:bottom w:val="single" w:color="F2BA02" w:themeColor="accent3" w:sz="4" w:space="0"/>
        <w:right w:val="single" w:color="F2BA02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6F01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6F01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6F01" w:themeFill="accent3" w:themeFillShade="99"/>
      </w:tcPr>
    </w:tblStylePr>
    <w:tblStylePr w:type="band1Vert">
      <w:tblPr/>
      <w:tcPr>
        <w:shd w:val="clear" w:color="auto" w:fill="FEE595" w:themeFill="accent3" w:themeFillTint="66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24" w:space="0"/>
        <w:left w:val="single" w:color="75BD42" w:themeColor="accent4" w:sz="4" w:space="0"/>
        <w:bottom w:val="single" w:color="75BD42" w:themeColor="accent4" w:sz="4" w:space="0"/>
        <w:right w:val="single" w:color="75BD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671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671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7127" w:themeFill="accent4" w:themeFillShade="99"/>
      </w:tcPr>
    </w:tblStylePr>
    <w:tblStylePr w:type="band1Vert">
      <w:tblPr/>
      <w:tcPr>
        <w:shd w:val="clear" w:color="auto" w:fill="C7E4B3" w:themeFill="accent4" w:themeFillTint="66"/>
      </w:tcPr>
    </w:tblStylePr>
    <w:tblStylePr w:type="band1Horz">
      <w:tblPr/>
      <w:tcPr>
        <w:shd w:val="clear" w:color="auto" w:fill="BADEA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2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C736B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C736B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36B" w:themeFill="accent5" w:themeFillShade="99"/>
      </w:tcPr>
    </w:tblStylePr>
    <w:tblStylePr w:type="band1Vert">
      <w:tblPr/>
      <w:tcPr>
        <w:shd w:val="clear" w:color="auto" w:fill="A8E9E3" w:themeFill="accent5" w:themeFillTint="66"/>
      </w:tcPr>
    </w:tblStylePr>
    <w:tblStylePr w:type="band1Horz">
      <w:tblPr/>
      <w:tcPr>
        <w:shd w:val="clear" w:color="auto" w:fill="93E4DD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2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F172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F172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27" w:themeFill="accent6" w:themeFillShade="99"/>
      </w:tcPr>
    </w:tblStylePr>
    <w:tblStylePr w:type="band1Vert">
      <w:tblPr/>
      <w:tcPr>
        <w:shd w:val="clear" w:color="auto" w:fill="F4B7BE" w:themeFill="accent6" w:themeFillTint="66"/>
      </w:tcPr>
    </w:tblStylePr>
    <w:tblStylePr w:type="band1Horz">
      <w:tblPr/>
      <w:tcPr>
        <w:shd w:val="clear" w:color="auto" w:fill="F2A5AE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D9734" w:themeFill="accent4" w:themeFillShade="CC"/>
      </w:tcPr>
    </w:tblStylePr>
    <w:tblStylePr w:type="lastRow">
      <w:rPr>
        <w:b/>
        <w:bCs/>
        <w:color w:val="5E973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shd w:val="clear" w:color="auto" w:fill="FEF2CA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9401" w:themeFill="accent3" w:themeFillShade="CC"/>
      </w:tcPr>
    </w:tblStylePr>
    <w:tblStylePr w:type="lastRow">
      <w:rPr>
        <w:b/>
        <w:bCs/>
        <w:color w:val="C2950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shd w:val="clear" w:color="auto" w:fill="E3F1D9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51E34" w:themeFill="accent6" w:themeFillShade="CC"/>
      </w:tcPr>
    </w:tblStylePr>
    <w:tblStylePr w:type="lastRow">
      <w:rPr>
        <w:b/>
        <w:bCs/>
        <w:color w:val="D51F3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shd w:val="clear" w:color="auto" w:fill="D3F4F1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26998F" w:themeFill="accent5" w:themeFillShade="CC"/>
      </w:tcPr>
    </w:tblStylePr>
    <w:tblStylePr w:type="lastRow">
      <w:rPr>
        <w:b/>
        <w:bCs/>
        <w:color w:val="269A9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shd w:val="clear" w:color="auto" w:fill="F9DBDE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3F4" w:themeFill="accent1" w:themeFillTint="33"/>
    </w:tcPr>
    <w:tblStylePr w:type="firstRow">
      <w:rPr>
        <w:b/>
        <w:bCs/>
      </w:rPr>
      <w:tblPr/>
      <w:tcPr>
        <w:shd w:val="clear" w:color="auto" w:fill="B5C7E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5C7E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8CCAB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CCAB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CA" w:themeFill="accent3" w:themeFillTint="33"/>
    </w:tcPr>
    <w:tblStylePr w:type="firstRow">
      <w:rPr>
        <w:b/>
        <w:bCs/>
      </w:rPr>
      <w:tblPr/>
      <w:tcPr>
        <w:shd w:val="clear" w:color="auto" w:fill="FEE59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E59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D9" w:themeFill="accent4" w:themeFillTint="33"/>
    </w:tcPr>
    <w:tblStylePr w:type="firstRow">
      <w:rPr>
        <w:b/>
        <w:bCs/>
      </w:rPr>
      <w:tblPr/>
      <w:tcPr>
        <w:shd w:val="clear" w:color="auto" w:fill="C7E4B3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7E4B3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4F1" w:themeFill="accent5" w:themeFillTint="33"/>
    </w:tcPr>
    <w:tblStylePr w:type="firstRow">
      <w:rPr>
        <w:b/>
        <w:bCs/>
      </w:rPr>
      <w:tblPr/>
      <w:tcPr>
        <w:shd w:val="clear" w:color="auto" w:fill="A8E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E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BDE" w:themeFill="accent6" w:themeFillTint="33"/>
    </w:tcPr>
    <w:tblStylePr w:type="firstRow">
      <w:rPr>
        <w:b/>
        <w:bCs/>
      </w:rPr>
      <w:tblPr/>
      <w:tcPr>
        <w:shd w:val="clear" w:color="auto" w:fill="F4B7BE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B7BE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qFormat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874CB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1E386B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386B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874CB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874CB" w:themeColor="accent1" w:sz="4" w:space="4"/>
      </w:pBdr>
      <w:spacing w:before="200" w:after="280"/>
      <w:ind w:left="936" w:right="936"/>
    </w:pPr>
    <w:rPr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EE822F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EE822F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2417</Words>
  <Characters>2765</Characters>
  <Lines>0</Lines>
  <Paragraphs>0</Paragraphs>
  <TotalTime>21</TotalTime>
  <ScaleCrop>false</ScaleCrop>
  <LinksUpToDate>false</LinksUpToDate>
  <CharactersWithSpaces>2899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WPS_1629097662</cp:lastModifiedBy>
  <dcterms:modified xsi:type="dcterms:W3CDTF">2025-09-10T05:50:55Z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eyJoZGlkIjoiYzYzNzllNWJjY2M4ODBjMDRlNzMxMDNjZWJhNjY5NzIiLCJ1c2VySWQiOiIxMjQ3OTkxMzI3In0=</vt:lpwstr>
  </property>
  <property fmtid="{D5CDD505-2E9C-101B-9397-08002B2CF9AE}" pid="3" name="KSOProductBuildVer">
    <vt:lpwstr>2052-12.1.0.22529</vt:lpwstr>
  </property>
  <property fmtid="{D5CDD505-2E9C-101B-9397-08002B2CF9AE}" pid="4" name="ICV">
    <vt:lpwstr>5F7206AA62974AE1B74F3C4B39F84BAE_13</vt:lpwstr>
  </property>
</Properties>
</file>