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School SMS — Logical Data Model</w:t>
      </w:r>
    </w:p>
    <w:p>
      <w:pPr>
        <w:jc w:val="center"/>
      </w:pPr>
      <w:r>
        <w:rPr>
          <w:color w:val="555555"/>
          <w:sz w:val="20"/>
        </w:rPr>
        <w:t>Entity-relationship overview of application tables. PK = primary key, FK = foreign key, UK = unique. Crow’s foot = many; circle = optional.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7845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cal-overview-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784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8"/>
        </w:rPr>
        <w:t>Note: Cross-domain foreign keys (e.g. parent_id, teacher_id, sender_id, recorded_by) are shown on subject-area diagrams where space allows. Source: backend/database/migrations.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