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E74B5"/>
          <w:sz w:val="26"/>
          <w:szCs w:val="26"/>
        </w:rPr>
        <w:t xml:space="preserve">PRODUCT REQUIREMENTS DOCUMENT &amp; TECHNICAL SPECIFICATION</w:t>
      </w:r>
    </w:p>
    <w:p>
      <w:pPr>
        <w:spacing w:before="200"/>
        <w:jc w:val="center"/>
      </w:pPr>
      <w:r>
        <w:rPr>
          <w:b/>
          <w:bCs/>
          <w:color w:val="1F3864"/>
          <w:sz w:val="64"/>
          <w:szCs w:val="64"/>
        </w:rPr>
        <w:t xml:space="preserve">PAJAKIN.ID</w:t>
      </w:r>
    </w:p>
    <w:p>
      <w:pPr>
        <w:spacing w:after="300" w:before="100"/>
        <w:jc w:val="center"/>
      </w:pPr>
      <w:r>
        <w:rPr>
          <w:i/>
          <w:iCs/>
          <w:color w:val="595959"/>
          <w:sz w:val="24"/>
          <w:szCs w:val="24"/>
        </w:rPr>
        <w:t xml:space="preserve">Automated Tax Compliance &amp; Financial Profiling SaaS</w:t>
      </w:r>
    </w:p>
    <w:p>
      <w:pPr>
        <w:spacing w:after="400" w:before="100"/>
        <w:jc w:val="center"/>
      </w:pPr>
      <w:r>
        <w:rPr>
          <w:color w:val="595959"/>
          <w:sz w:val="20"/>
          <w:szCs w:val="20"/>
        </w:rPr>
        <w:t xml:space="preserve">Dokumen Spesifikasi Kebutuhan Produk &amp; Arsitektur Sistem Terintegrasi</w:t>
      </w:r>
    </w:p>
    <w:p>
      <w:pPr>
        <w:pBdr>
          <w:top w:val="single" w:color="2E74B5" w:sz="6"/>
        </w:pBdr>
        <w:spacing w:before="700"/>
        <w:jc w:val="center"/>
      </w:pPr>
    </w:p>
    <w:p>
      <w:pPr>
        <w:spacing w:before="400"/>
        <w:jc w:val="center"/>
      </w:pPr>
      <w:r>
        <w:rPr>
          <w:color w:val="595959"/>
          <w:sz w:val="22"/>
          <w:szCs w:val="22"/>
        </w:rPr>
        <w:t xml:space="preserve">Versi Dokumen: 1.2.0 (MVP Beta Cycle — Revisi PP 20/2026)</w:t>
      </w:r>
    </w:p>
    <w:p>
      <w:pPr>
        <w:spacing w:before="100"/>
        <w:jc w:val="center"/>
      </w:pPr>
      <w:r>
        <w:rPr>
          <w:color w:val="595959"/>
          <w:sz w:val="22"/>
          <w:szCs w:val="22"/>
        </w:rPr>
        <w:t xml:space="preserve">17 Juli 2026</w:t>
      </w:r>
    </w:p>
    <w:p>
      <w:pPr>
        <w:spacing w:before="100"/>
        <w:jc w:val="center"/>
      </w:pPr>
      <w:r>
        <w:rPr>
          <w:color w:val="595959"/>
          <w:sz w:val="20"/>
          <w:szCs w:val="20"/>
        </w:rPr>
        <w:t xml:space="preserve">Metodologi: Agile Vertical Feature Slicing &amp; Modular Monolith</w:t>
      </w:r>
    </w:p>
    <w:p>
      <w:pPr>
        <w:spacing w:before="600"/>
        <w:jc w:val="center"/>
      </w:pPr>
      <w:r>
        <w:rPr>
          <w:b/>
          <w:bCs/>
          <w:sz w:val="22"/>
          <w:szCs w:val="22"/>
        </w:rPr>
        <w:t xml:space="preserve">Target Pembaca</w:t>
      </w:r>
    </w:p>
    <w:p>
      <w:pPr>
        <w:jc w:val="center"/>
      </w:pPr>
      <w:r>
        <w:rPr>
          <w:sz w:val="20"/>
          <w:szCs w:val="20"/>
        </w:rPr>
        <w:t xml:space="preserve">Tim Engineering (Frontend, Backend, DevOps, System QA) &amp; Product Manager</w:t>
      </w:r>
    </w:p>
    <w:p>
      <w:pPr>
        <w:spacing w:before="500"/>
        <w:jc w:val="center"/>
      </w:pPr>
      <w:r>
        <w:rPr>
          <w:b/>
          <w:bCs/>
          <w:sz w:val="22"/>
          <w:szCs w:val="22"/>
        </w:rPr>
        <w:t xml:space="preserve">Struktur Peran Tim Inti</w:t>
      </w:r>
    </w:p>
    <w:p>
      <w:pPr>
        <w:jc w:val="center"/>
      </w:pPr>
      <w:r>
        <w:rPr>
          <w:sz w:val="20"/>
          <w:szCs w:val="20"/>
        </w:rPr>
        <w:t xml:space="preserve">Ketua Tim / Hustler — Visi Produk &amp; Eksekusi Pasar</w:t>
      </w:r>
    </w:p>
    <w:p>
      <w:pPr>
        <w:jc w:val="center"/>
      </w:pPr>
      <w:r>
        <w:rPr>
          <w:sz w:val="20"/>
          <w:szCs w:val="20"/>
        </w:rPr>
        <w:t xml:space="preserve">Frontend Developer — Web Dashboard</w:t>
      </w:r>
    </w:p>
    <w:p>
      <w:pPr>
        <w:jc w:val="center"/>
      </w:pPr>
      <w:r>
        <w:rPr>
          <w:sz w:val="20"/>
          <w:szCs w:val="20"/>
        </w:rPr>
        <w:t xml:space="preserve">Backend Developer — Core Engine &amp; API</w:t>
      </w:r>
    </w:p>
    <w:p>
      <w:pPr>
        <w:jc w:val="center"/>
      </w:pPr>
      <w:r>
        <w:rPr>
          <w:sz w:val="20"/>
          <w:szCs w:val="20"/>
        </w:rPr>
        <w:t xml:space="preserve">Project Manager &amp; Business Strategist — Monetisasi &amp; Kemitraan</w:t>
      </w:r>
    </w:p>
    <w:p>
      <w:pPr>
        <w:spacing w:before="100"/>
        <w:jc w:val="center"/>
      </w:pPr>
      <w:r>
        <w:rPr>
          <w:i/>
          <w:iCs/>
          <w:color w:val="595959"/>
          <w:sz w:val="16"/>
          <w:szCs w:val="16"/>
        </w:rPr>
        <w:t xml:space="preserve">(Penugasan nama personel akan ditentukan terpisah oleh Ketua Tim)</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before="200"/>
      </w:pPr>
      <w:r>
        <w:rPr>
          <w:i/>
          <w:iCs/>
          <w:color w:val="595959"/>
          <w:sz w:val="18"/>
          <w:szCs w:val="18"/>
        </w:rPr>
        <w:t xml:space="preserve">(Klik kanan pada area ini di Microsoft Word, lalu pilih "Update Field" untuk memuat daftar isi otomatis)</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Bdr>
          <w:top w:val="single" w:color="E0B400" w:sz="4"/>
          <w:bottom w:val="single" w:color="E0B400" w:sz="4"/>
          <w:left w:val="single" w:color="E0B400" w:sz="4"/>
          <w:right w:val="single" w:color="E0B400" w:sz="4"/>
        </w:pBdr>
        <w:shd w:fill="FFF3CD" w:val="clear"/>
        <w:spacing w:after="240"/>
      </w:pPr>
      <w:r>
        <w:rPr>
          <w:b/>
          <w:bCs/>
          <w:sz w:val="20"/>
          <w:szCs w:val="20"/>
        </w:rPr>
        <w:t xml:space="preserve">Catatan Revisi v1.2.0: </w:t>
      </w:r>
      <w:r>
        <w:rPr>
          <w:sz w:val="20"/>
          <w:szCs w:val="20"/>
        </w:rPr>
        <w:t xml:space="preserve">pembaruan ini menyelaraskan produk dengan PP Nomor 20 Tahun 2026 (revisi PP 55/2022). Perubahan mencakup Modul 2 Tax Engine (filter eligibilitas entitas &amp; Graduation Threshold PKP &gt; Rp4,8 Miliar), skema tabel clients (kolom business_type, is_pkp_graduated, graduated_at), UI/UX Portal B2B Konsultan Pajak (dropdown jenis usaha &amp; indikator status Ungu/Graduated), serta Glosarium.</w:t>
      </w:r>
    </w:p>
    <w:p>
      <w:pPr>
        <w:pStyle w:val="Heading1"/>
        <w:spacing w:after="160" w:before="360"/>
      </w:pPr>
      <w:r>
        <w:t xml:space="preserve">1. Executive Summary &amp; Business Objectives</w:t>
      </w:r>
    </w:p>
    <w:p>
      <w:pPr>
        <w:spacing w:after="160" w:line="276"/>
      </w:pPr>
      <w:r>
        <w:t xml:space="preserve">Pajakin.id adalah platform SaaS yang menyelesaikan masalah kepatuhan pajak PPh Final 0,5% (merujuk pada PP Nomor 20 Tahun 2026, revisi atas PP Nomor 55 Tahun 2022) bagi UMKM mikro, sekaligus membantu Konsultan Pajak mengelola pembukuan puluhan klien secara otomatis.</w:t>
      </w:r>
    </w:p>
    <w:p>
      <w:pPr>
        <w:spacing w:after="160" w:line="276"/>
      </w:pPr>
      <w:r>
        <w:t xml:space="preserve">Akar masalah yang diselesaikan adalah "Audit Phobia" — ketakutan pelaku usaha mikro untuk melapor pajak akibat kerumitan rumus akuntansi dan ancaman denda keterlambatan minimum Rp100.000/bulan. Akibatnya, usaha mereka terkurung dalam status Unbankable karena tidak memiliki rekam jejak keuangan (audit trail) yang valid untuk mengakses pinjaman modal seperti Kredit Usaha Rakyat (KUR) dari perbankan.</w:t>
      </w:r>
    </w:p>
    <w:p>
      <w:pPr>
        <w:pStyle w:val="Heading2"/>
        <w:spacing w:after="120" w:before="260"/>
      </w:pPr>
      <w:r>
        <w:t xml:space="preserve">1.1 Key Performance Indicators (KPI) — Siklus MVP (Bulan 1–6)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KPI</w:t>
            </w:r>
          </w:p>
        </w:tc>
        <w:tc>
          <w:tcPr>
            <w:tcW w:type="dxa" w:w="6400"/>
            <w:shd w:fill="1F3864"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Adopsi Pengguna (MAU)</w:t>
            </w:r>
          </w:p>
        </w:tc>
        <w:tc>
          <w:tcPr>
            <w:tcW w:type="dxa" w:w="6400"/>
            <w:tcMar>
              <w:top w:type="dxa" w:w="80"/>
              <w:left w:type="dxa" w:w="100"/>
              <w:bottom w:type="dxa" w:w="80"/>
              <w:right w:type="dxa" w:w="100"/>
            </w:tcMar>
            <w:vAlign w:val="center"/>
          </w:tcPr>
          <w:p>
            <w:pPr>
              <w:jc w:val="left"/>
            </w:pPr>
            <w:r>
              <w:rPr>
                <w:b w:val="false"/>
                <w:bCs w:val="false"/>
                <w:sz w:val="20"/>
                <w:szCs w:val="20"/>
              </w:rPr>
              <w:t xml:space="preserve">500 UMKM aktif bulanan, retensi minimum 75%</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Kemitraan B2B</w:t>
            </w:r>
          </w:p>
        </w:tc>
        <w:tc>
          <w:tcPr>
            <w:tcW w:type="dxa" w:w="6400"/>
            <w:shd w:fill="F2F6FA" w:val="clear"/>
            <w:tcMar>
              <w:top w:type="dxa" w:w="80"/>
              <w:left w:type="dxa" w:w="100"/>
              <w:bottom w:type="dxa" w:w="80"/>
              <w:right w:type="dxa" w:w="100"/>
            </w:tcMar>
            <w:vAlign w:val="center"/>
          </w:tcPr>
          <w:p>
            <w:pPr>
              <w:jc w:val="left"/>
            </w:pPr>
            <w:r>
              <w:rPr>
                <w:b w:val="false"/>
                <w:bCs w:val="false"/>
                <w:sz w:val="20"/>
                <w:szCs w:val="20"/>
              </w:rPr>
              <w:t xml:space="preserve">Minimal 10 Mitra Konsultan Pajak berlisensi, masing-masing mengelola 20–50 klien binaan</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Efisiensi Operasional</w:t>
            </w:r>
          </w:p>
        </w:tc>
        <w:tc>
          <w:tcPr>
            <w:tcW w:type="dxa" w:w="6400"/>
            <w:tcMar>
              <w:top w:type="dxa" w:w="80"/>
              <w:left w:type="dxa" w:w="100"/>
              <w:bottom w:type="dxa" w:w="80"/>
              <w:right w:type="dxa" w:w="100"/>
            </w:tcMar>
            <w:vAlign w:val="center"/>
          </w:tcPr>
          <w:p>
            <w:pPr>
              <w:jc w:val="left"/>
            </w:pPr>
            <w:r>
              <w:rPr>
                <w:b w:val="false"/>
                <w:bCs w:val="false"/>
                <w:sz w:val="20"/>
                <w:szCs w:val="20"/>
              </w:rPr>
              <w:t xml:space="preserve">Pemangkasan waktu rekapitulasi &amp; pelaporan dari 4 jam menjadi &lt; 5 menit/bulan (efisiensi 97,9%)</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Akurasi &amp; Keandalan</w:t>
            </w:r>
          </w:p>
        </w:tc>
        <w:tc>
          <w:tcPr>
            <w:tcW w:type="dxa" w:w="6400"/>
            <w:shd w:fill="F2F6FA" w:val="clear"/>
            <w:tcMar>
              <w:top w:type="dxa" w:w="80"/>
              <w:left w:type="dxa" w:w="100"/>
              <w:bottom w:type="dxa" w:w="80"/>
              <w:right w:type="dxa" w:w="100"/>
            </w:tcMar>
            <w:vAlign w:val="center"/>
          </w:tcPr>
          <w:p>
            <w:pPr>
              <w:jc w:val="left"/>
            </w:pPr>
            <w:r>
              <w:rPr>
                <w:b w:val="false"/>
                <w:bCs w:val="false"/>
                <w:sz w:val="20"/>
                <w:szCs w:val="20"/>
              </w:rPr>
              <w:t xml:space="preserve">Akurasi kalkulasi pajak 100% (zero-error tolerance) dan stabilitas server 99,9% saat puncak lonjakan akhir bulan</w:t>
            </w:r>
          </w:p>
        </w:tc>
      </w:tr>
    </w:tbl>
    <w:p>
      <w:pPr>
        <w:pStyle w:val="Heading1"/>
        <w:spacing w:after="160" w:before="360"/>
      </w:pPr>
      <w:r>
        <w:t xml:space="preserve">2. System Guardrails &amp; Non-Functional Requirements</w:t>
      </w:r>
    </w:p>
    <w:p>
      <w:pPr>
        <w:spacing w:after="160" w:line="276"/>
      </w:pPr>
      <w:r>
        <w:t xml:space="preserve">Seluruh arsitektur perangkat lunak yang dibangun tim engineering wajib mematuhi 3 prinsip non-negosiasi berikut:</w:t>
      </w:r>
    </w:p>
    <w:p>
      <w:pPr>
        <w:pStyle w:val="Heading3"/>
        <w:spacing w:after="100" w:before="200"/>
      </w:pPr>
      <w:r>
        <w:t xml:space="preserve">2.1 Zero AI/LLM Dependency untuk Kalkulasi</w:t>
      </w:r>
    </w:p>
    <w:p>
      <w:pPr>
        <w:spacing w:after="160" w:line="276"/>
      </w:pPr>
      <w:r>
        <w:t xml:space="preserve">Dilarang menggunakan model kecerdasan buatan (AI/LLM) untuk penguraian teks, pengenalan pola nota, ataupun kalkulasi matematika pajak. Regulasi perpajakan dan audit perbankan membutuhkan akurasi mutlak tanpa probabilitas halusinasi. Seluruh kalkulasi wajib dieksekusi oleh Deterministic Rule-Based Tax Engine berbasis algoritma pasti di Golang.</w:t>
      </w:r>
    </w:p>
    <w:p>
      <w:pPr>
        <w:pStyle w:val="Heading3"/>
        <w:spacing w:after="100" w:before="200"/>
      </w:pPr>
      <w:r>
        <w:t xml:space="preserve">2.2 Strict Data Isolation via RLS</w:t>
      </w:r>
    </w:p>
    <w:p>
      <w:pPr>
        <w:spacing w:after="160" w:line="276"/>
      </w:pPr>
      <w:r>
        <w:t xml:space="preserve">Keamanan multi-tenant dan kerahasiaan data klien antar-konsultan tidak boleh hanya diamankan pada level aplikasi/middleware. Isolasi data wajib dikunci langsung pada tingkat basis data menggunakan PostgreSQL Row-Level Security (RLS).</w:t>
      </w:r>
    </w:p>
    <w:p>
      <w:pPr>
        <w:pStyle w:val="Heading3"/>
        <w:spacing w:after="100" w:before="200"/>
      </w:pPr>
      <w:r>
        <w:t xml:space="preserve">2.3 Asynchronous Heavy Lifting</w:t>
      </w:r>
    </w:p>
    <w:p>
      <w:pPr>
        <w:spacing w:after="160" w:line="276"/>
      </w:pPr>
      <w:r>
        <w:t xml:space="preserve">Seluruh pemrosesan I/O berat (rendering dokumen Draf SPT PDF massal, blast notifikasi pengingat H-7/H-3/H-1) wajib dialihkan ke antrean latar belakang (Redis Queue &amp; Background Workers) agar latensi API utama tetap stabil di bawah 200 milidetik dan mencegah server down.</w:t>
      </w:r>
    </w:p>
    <w:p>
      <w:pPr>
        <w:pStyle w:val="Heading1"/>
        <w:spacing w:after="160" w:before="360"/>
      </w:pPr>
      <w:r>
        <w:t xml:space="preserve">3. User Personas &amp; Access Models</w:t>
      </w:r>
    </w:p>
    <w:p>
      <w:pPr>
        <w:pStyle w:val="Heading2"/>
        <w:spacing w:after="120" w:before="260"/>
      </w:pPr>
      <w:r>
        <w:t xml:space="preserve">3.1 Persona Pengguna</w:t>
      </w:r>
    </w:p>
    <w:p>
      <w:pPr>
        <w:pStyle w:val="ListParagraph"/>
        <w:numPr>
          <w:ilvl w:val="0"/>
          <w:numId w:val="2"/>
        </w:numPr>
        <w:spacing w:after="80" w:line="276"/>
      </w:pPr>
      <w:r>
        <w:t xml:space="preserve">Persona A — UMKM Mandiri (End-User): pelaku usaha mikro (warung, toko ritel, jasa rumahan) dengan literasi teknologi menengah dan waktu operasional terbatas. Kebutuhan utama: pencatatan kas cepat tanpa jargon akuntansi, bebas sanksi denda pajak, dan dokumen pembukuan sah untuk syarat pinjaman KUR bank.</w:t>
      </w:r>
    </w:p>
    <w:p>
      <w:pPr>
        <w:pStyle w:val="ListParagraph"/>
        <w:numPr>
          <w:ilvl w:val="0"/>
          <w:numId w:val="2"/>
        </w:numPr>
        <w:spacing w:after="80" w:line="276"/>
      </w:pPr>
      <w:r>
        <w:t xml:space="preserve">Persona B — Konsultan Pajak Independen (B2B Agency): profesional perpajakan berlisensi yang mengawasi 20–50 klien UMKM. Kebutuhan utama: dasbor manajemen terpusat untuk memantau kepatuhan seluruh klien dan mengotomasi ekstraksi laporan bulanan massal, melipatgandakan kapasitas kerja tanpa menambah staf.</w:t>
      </w:r>
    </w:p>
    <w:p>
      <w:pPr>
        <w:pStyle w:val="Heading2"/>
        <w:spacing w:after="120" w:before="260"/>
      </w:pPr>
      <w:r>
        <w:t xml:space="preserve">3.2 Dual-Access Mode (Relasi UMKM &amp; Konsultan)</w:t>
      </w:r>
    </w:p>
    <w:p>
      <w:pPr>
        <w:spacing w:after="160" w:line="276"/>
      </w:pPr>
      <w:r>
        <w:t xml:space="preserve">Untuk menghindari vendor lock-in dan memberikan keluwesan kendali data kepada UMKM, sistem menyediakan dua mode pengikatan akun antara UMKM dan Konsultan Pajak:</w:t>
      </w:r>
    </w:p>
    <w:p>
      <w:pPr>
        <w:pStyle w:val="Heading3"/>
        <w:spacing w:after="100" w:before="200"/>
      </w:pPr>
      <w:r>
        <w:t xml:space="preserve">Mode 1 — Full Managed (Binaan Tetap)</w:t>
      </w:r>
    </w:p>
    <w:p>
      <w:pPr>
        <w:pStyle w:val="ListParagraph"/>
        <w:numPr>
          <w:ilvl w:val="0"/>
          <w:numId w:val="2"/>
        </w:numPr>
        <w:spacing w:after="80" w:line="276"/>
      </w:pPr>
      <w:r>
        <w:t xml:space="preserve">UMKM menyerahkan pengelolaan pembukuan dan perpajakan sepenuhnya kepada satu Konsultan Pajak tetap.</w:t>
      </w:r>
    </w:p>
    <w:p>
      <w:pPr>
        <w:pStyle w:val="ListParagraph"/>
        <w:numPr>
          <w:ilvl w:val="0"/>
          <w:numId w:val="2"/>
        </w:numPr>
        <w:spacing w:after="80" w:line="276"/>
      </w:pPr>
      <w:r>
        <w:t xml:space="preserve">Penagihan langganan UMKM digabungkan ke dalam kuota lisensi grosir B2B milik konsultan.</w:t>
      </w:r>
    </w:p>
    <w:p>
      <w:pPr>
        <w:pStyle w:val="ListParagraph"/>
        <w:numPr>
          <w:ilvl w:val="0"/>
          <w:numId w:val="2"/>
        </w:numPr>
        <w:spacing w:after="80" w:line="276"/>
      </w:pPr>
      <w:r>
        <w:t xml:space="preserve">Diaktifkan oleh UMKM via WhatsApp dengan mengetik perintah SETUJU atau BIND.</w:t>
      </w:r>
    </w:p>
    <w:p>
      <w:pPr>
        <w:pStyle w:val="Heading3"/>
        <w:spacing w:after="100" w:before="200"/>
      </w:pPr>
      <w:r>
        <w:t xml:space="preserve">Mode 2 — Advisory / Guest Access (Akses Konsultasi Sementara)</w:t>
      </w:r>
    </w:p>
    <w:p>
      <w:pPr>
        <w:pStyle w:val="ListParagraph"/>
        <w:numPr>
          <w:ilvl w:val="0"/>
          <w:numId w:val="2"/>
        </w:numPr>
        <w:spacing w:after="80" w:line="276"/>
      </w:pPr>
      <w:r>
        <w:t xml:space="preserve">UMKM tetap mengelola akun secara mandiri (membayar langganan eceran sendiri Rp79.000/bulan).</w:t>
      </w:r>
    </w:p>
    <w:p>
      <w:pPr>
        <w:pStyle w:val="ListParagraph"/>
        <w:numPr>
          <w:ilvl w:val="0"/>
          <w:numId w:val="2"/>
        </w:numPr>
        <w:spacing w:after="80" w:line="276"/>
      </w:pPr>
      <w:r>
        <w:t xml:space="preserve">UMKM dapat memberikan hak akses baca/review (read-only) kepada konsultan eksternal dengan tenggat waktu tertentu (mis. 7, 14, atau 30 hari).</w:t>
      </w:r>
    </w:p>
    <w:p>
      <w:pPr>
        <w:pStyle w:val="ListParagraph"/>
        <w:numPr>
          <w:ilvl w:val="0"/>
          <w:numId w:val="2"/>
        </w:numPr>
        <w:spacing w:after="80" w:line="276"/>
      </w:pPr>
      <w:r>
        <w:t xml:space="preserve">Diaktifkan dengan perintah IZIN [JML_HARI] HARI, contoh: IZIN 7 HARI.</w:t>
      </w:r>
    </w:p>
    <w:p>
      <w:pPr>
        <w:pStyle w:val="ListParagraph"/>
        <w:numPr>
          <w:ilvl w:val="0"/>
          <w:numId w:val="2"/>
        </w:numPr>
        <w:spacing w:after="80" w:line="276"/>
      </w:pPr>
      <w:r>
        <w:t xml:space="preserve">Akses dapat dicabut sepihak kapan saja oleh UMKM dengan mengetik CABUT AKSES.</w:t>
      </w:r>
    </w:p>
    <w:p>
      <w:pPr>
        <w:pStyle w:val="ListParagraph"/>
        <w:numPr>
          <w:ilvl w:val="0"/>
          <w:numId w:val="2"/>
        </w:numPr>
        <w:spacing w:after="80" w:line="276"/>
      </w:pPr>
      <w:r>
        <w:t xml:space="preserve">Akses otomatis berstatus EXPIRED setelah melewati expires_at tanpa perlu aksi manual.</w:t>
      </w:r>
    </w:p>
    <w:p>
      <w:pPr>
        <w:pStyle w:val="Heading1"/>
        <w:spacing w:after="160" w:before="360"/>
      </w:pPr>
      <w:r>
        <w:t xml:space="preserve">4. Ruang Lingkup Produk (Scope)</w:t>
      </w:r>
    </w:p>
    <w:p>
      <w:pPr>
        <w:pStyle w:val="Heading2"/>
        <w:spacing w:after="120" w:before="260"/>
      </w:pPr>
      <w:r>
        <w:t xml:space="preserve">4.1 In-Scope — MVP Beta (Bulan 1–6)</w:t>
      </w:r>
    </w:p>
    <w:p>
      <w:pPr>
        <w:pStyle w:val="ListParagraph"/>
        <w:numPr>
          <w:ilvl w:val="0"/>
          <w:numId w:val="2"/>
        </w:numPr>
        <w:spacing w:after="80" w:line="276"/>
      </w:pPr>
      <w:r>
        <w:t xml:space="preserve">Pencatatan transaksi via WhatsApp (format teks terstruktur) dengan parsing Regex deterministik.</w:t>
      </w:r>
    </w:p>
    <w:p>
      <w:pPr>
        <w:pStyle w:val="ListParagraph"/>
        <w:numPr>
          <w:ilvl w:val="0"/>
          <w:numId w:val="2"/>
        </w:numPr>
        <w:spacing w:after="80" w:line="276"/>
      </w:pPr>
      <w:r>
        <w:t xml:space="preserve">Deterministic Rule-Based Tax Engine untuk kalkulasi PPh Final 0,5% sesuai PP 20/2026, termasuk filter eligibilitas entitas dan Graduation Pipeline PKP (&gt; Rp4,8 Miliar).</w:t>
      </w:r>
    </w:p>
    <w:p>
      <w:pPr>
        <w:pStyle w:val="ListParagraph"/>
        <w:numPr>
          <w:ilvl w:val="0"/>
          <w:numId w:val="2"/>
        </w:numPr>
        <w:spacing w:after="80" w:line="276"/>
      </w:pPr>
      <w:r>
        <w:t xml:space="preserve">Immutable audit trail berbasis hash chaining (SHA-256).</w:t>
      </w:r>
    </w:p>
    <w:p>
      <w:pPr>
        <w:pStyle w:val="ListParagraph"/>
        <w:numPr>
          <w:ilvl w:val="0"/>
          <w:numId w:val="2"/>
        </w:numPr>
        <w:spacing w:after="80" w:line="276"/>
      </w:pPr>
      <w:r>
        <w:t xml:space="preserve">Generator dokumen Draf SPT (.PDF/.CSV) yang dikirim kembali via WhatsApp.</w:t>
      </w:r>
    </w:p>
    <w:p>
      <w:pPr>
        <w:pStyle w:val="ListParagraph"/>
        <w:numPr>
          <w:ilvl w:val="0"/>
          <w:numId w:val="2"/>
        </w:numPr>
        <w:spacing w:after="80" w:line="276"/>
      </w:pPr>
      <w:r>
        <w:t xml:space="preserve">Reminder otomatis berlapis H-7/H-3/H-1 (tanggal 8, 12, 14) dengan proteksi anti-spam.</w:t>
      </w:r>
    </w:p>
    <w:p>
      <w:pPr>
        <w:pStyle w:val="ListParagraph"/>
        <w:numPr>
          <w:ilvl w:val="0"/>
          <w:numId w:val="2"/>
        </w:numPr>
        <w:spacing w:after="80" w:line="276"/>
      </w:pPr>
      <w:r>
        <w:t xml:space="preserve">Web Dashboard dua tenant: Portal UMKM Mandiri dan Portal B2B Konsultan Pajak.</w:t>
      </w:r>
    </w:p>
    <w:p>
      <w:pPr>
        <w:pStyle w:val="ListParagraph"/>
        <w:numPr>
          <w:ilvl w:val="0"/>
          <w:numId w:val="2"/>
        </w:numPr>
        <w:spacing w:after="80" w:line="276"/>
      </w:pPr>
      <w:r>
        <w:t xml:space="preserve">Dual-Access Mode: Full Managed (BIND) dan Advisory/Guest Access sementara (IZIN [N] HARI / CABUT AKSES).</w:t>
      </w:r>
    </w:p>
    <w:p>
      <w:pPr>
        <w:pStyle w:val="ListParagraph"/>
        <w:numPr>
          <w:ilvl w:val="0"/>
          <w:numId w:val="2"/>
        </w:numPr>
        <w:spacing w:after="80" w:line="276"/>
      </w:pPr>
      <w:r>
        <w:t xml:space="preserve">Batch export laporan (ZIP) untuk konsultan.</w:t>
      </w:r>
    </w:p>
    <w:p>
      <w:pPr>
        <w:pStyle w:val="ListParagraph"/>
        <w:numPr>
          <w:ilvl w:val="0"/>
          <w:numId w:val="2"/>
        </w:numPr>
        <w:spacing w:after="80" w:line="276"/>
      </w:pPr>
      <w:r>
        <w:t xml:space="preserve">Multi-tenancy dengan isolasi PostgreSQL Row-Level Security.</w:t>
      </w:r>
    </w:p>
    <w:p>
      <w:pPr>
        <w:pStyle w:val="Heading2"/>
        <w:spacing w:after="120" w:before="260"/>
      </w:pPr>
      <w:r>
        <w:t xml:space="preserve">4.2 Out of Scope — No-Goes (Ditunda/Dibatalkan dari MVP)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46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Fitur</w:t>
            </w:r>
          </w:p>
        </w:tc>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Alasan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AI Tax Assistant / Integrasi LLM</w:t>
            </w:r>
          </w:p>
        </w:tc>
        <w:tc>
          <w:tcPr>
            <w:tcW w:type="dxa" w:w="2000"/>
            <w:tcMar>
              <w:top w:type="dxa" w:w="80"/>
              <w:left w:type="dxa" w:w="100"/>
              <w:bottom w:type="dxa" w:w="80"/>
              <w:right w:type="dxa" w:w="100"/>
            </w:tcMar>
            <w:vAlign w:val="center"/>
          </w:tcPr>
          <w:p>
            <w:pPr>
              <w:jc w:val="left"/>
            </w:pPr>
            <w:r>
              <w:rPr>
                <w:b w:val="false"/>
                <w:bCs w:val="false"/>
                <w:sz w:val="20"/>
                <w:szCs w:val="20"/>
              </w:rPr>
              <w:t xml:space="preserve">DIBATALKAN total</w:t>
            </w:r>
          </w:p>
        </w:tc>
        <w:tc>
          <w:tcPr>
            <w:tcW w:type="dxa" w:w="4600"/>
            <w:tcMar>
              <w:top w:type="dxa" w:w="80"/>
              <w:left w:type="dxa" w:w="100"/>
              <w:bottom w:type="dxa" w:w="80"/>
              <w:right w:type="dxa" w:w="100"/>
            </w:tcMar>
            <w:vAlign w:val="center"/>
          </w:tcPr>
          <w:p>
            <w:pPr>
              <w:jc w:val="left"/>
            </w:pPr>
            <w:r>
              <w:rPr>
                <w:b w:val="false"/>
                <w:bCs w:val="false"/>
                <w:sz w:val="20"/>
                <w:szCs w:val="20"/>
              </w:rPr>
              <w:t xml:space="preserve">Risiko ketidakpastian matematis, biaya token, potensi halusinasi hukum pajak — digantikan Deterministic Rule-Based Tax Engine</w:t>
            </w:r>
          </w:p>
        </w:tc>
      </w:tr>
      <w:tr>
        <w:tc>
          <w:tcPr>
            <w:tcW w:type="dxa" w:w="4200"/>
            <w:shd w:fill="F2F6FA" w:val="clear"/>
            <w:tcMar>
              <w:top w:type="dxa" w:w="80"/>
              <w:left w:type="dxa" w:w="100"/>
              <w:bottom w:type="dxa" w:w="80"/>
              <w:right w:type="dxa" w:w="100"/>
            </w:tcMar>
            <w:vAlign w:val="center"/>
          </w:tcPr>
          <w:p>
            <w:pPr>
              <w:jc w:val="left"/>
            </w:pPr>
            <w:r>
              <w:rPr>
                <w:b w:val="false"/>
                <w:bCs w:val="false"/>
                <w:sz w:val="20"/>
                <w:szCs w:val="20"/>
              </w:rPr>
              <w:t xml:space="preserve">OCR Scanner Struk &amp; Nota Fisik</w:t>
            </w:r>
          </w:p>
        </w:tc>
        <w:tc>
          <w:tcPr>
            <w:tcW w:type="dxa" w:w="2000"/>
            <w:shd w:fill="F2F6FA" w:val="clear"/>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shd w:fill="F2F6FA" w:val="clear"/>
            <w:tcMar>
              <w:top w:type="dxa" w:w="80"/>
              <w:left w:type="dxa" w:w="100"/>
              <w:bottom w:type="dxa" w:w="80"/>
              <w:right w:type="dxa" w:w="100"/>
            </w:tcMar>
            <w:vAlign w:val="center"/>
          </w:tcPr>
          <w:p>
            <w:pPr>
              <w:jc w:val="left"/>
            </w:pPr>
            <w:r>
              <w:rPr>
                <w:b w:val="false"/>
                <w:bCs w:val="false"/>
                <w:sz w:val="20"/>
                <w:szCs w:val="20"/>
              </w:rPr>
              <w:t xml:space="preserve">Error rate tinggi untuk nota lecek/tulisan tangan; menambah kompleksitas tanpa efisiensi nyata di tahap awal</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Integrasi API Marketplace (Shopee, Tokopedia, TikTok Shop)</w:t>
            </w:r>
          </w:p>
        </w:tc>
        <w:tc>
          <w:tcPr>
            <w:tcW w:type="dxa" w:w="2000"/>
            <w:tcMar>
              <w:top w:type="dxa" w:w="80"/>
              <w:left w:type="dxa" w:w="100"/>
              <w:bottom w:type="dxa" w:w="80"/>
              <w:right w:type="dxa" w:w="100"/>
            </w:tcMar>
            <w:vAlign w:val="center"/>
          </w:tcPr>
          <w:p>
            <w:pPr>
              <w:jc w:val="left"/>
            </w:pPr>
            <w:r>
              <w:rPr>
                <w:b w:val="false"/>
                <w:bCs w:val="false"/>
                <w:sz w:val="20"/>
                <w:szCs w:val="20"/>
              </w:rPr>
              <w:t xml:space="preserve">DITUNDA</w:t>
            </w:r>
          </w:p>
        </w:tc>
        <w:tc>
          <w:tcPr>
            <w:tcW w:type="dxa" w:w="4600"/>
            <w:tcMar>
              <w:top w:type="dxa" w:w="80"/>
              <w:left w:type="dxa" w:w="100"/>
              <w:bottom w:type="dxa" w:w="80"/>
              <w:right w:type="dxa" w:w="100"/>
            </w:tcMar>
            <w:vAlign w:val="center"/>
          </w:tcPr>
          <w:p>
            <w:pPr>
              <w:jc w:val="left"/>
            </w:pPr>
            <w:r>
              <w:rPr>
                <w:b w:val="false"/>
                <w:bCs w:val="false"/>
                <w:sz w:val="20"/>
                <w:szCs w:val="20"/>
              </w:rPr>
              <w:t xml:space="preserve">Perizinan API pihak ketiga rumit, token sering putus, menambah biaya server</w:t>
            </w:r>
          </w:p>
        </w:tc>
      </w:tr>
    </w:tbl>
    <w:p>
      <w:pPr>
        <w:pStyle w:val="Heading1"/>
        <w:spacing w:after="160" w:before="360"/>
      </w:pPr>
      <w:r>
        <w:t xml:space="preserve">5. Arsitektur Sistem &amp; Tech Stack</w:t>
      </w:r>
    </w:p>
    <w:p>
      <w:pPr>
        <w:spacing w:after="160" w:line="276"/>
      </w:pPr>
      <w:r>
        <w:t xml:space="preserve">Metodologi kerja tim developer adalah Vertical Feature Slicing / Modular Monolith — setiap developer memegang end-to-end domain ownership (database, backend, worker, hingga UI) atas satu ekosistem fitur, untuk menghindari bottleneck saling menunggu antara frontend dan backend.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Komponen</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Teknologi</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Rasionalisasi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Backend Core API &amp; Tax Engine</w:t>
            </w:r>
          </w:p>
        </w:tc>
        <w:tc>
          <w:tcPr>
            <w:tcW w:type="dxa" w:w="2600"/>
            <w:tcMar>
              <w:top w:type="dxa" w:w="80"/>
              <w:left w:type="dxa" w:w="100"/>
              <w:bottom w:type="dxa" w:w="80"/>
              <w:right w:type="dxa" w:w="100"/>
            </w:tcMar>
            <w:vAlign w:val="center"/>
          </w:tcPr>
          <w:p>
            <w:pPr>
              <w:jc w:val="left"/>
            </w:pPr>
            <w:r>
              <w:rPr>
                <w:b w:val="false"/>
                <w:bCs w:val="false"/>
                <w:sz w:val="20"/>
                <w:szCs w:val="20"/>
              </w:rPr>
              <w:t xml:space="preserve">Golang, Modular Monolith</w:t>
            </w:r>
          </w:p>
        </w:tc>
        <w:tc>
          <w:tcPr>
            <w:tcW w:type="dxa" w:w="5600"/>
            <w:tcMar>
              <w:top w:type="dxa" w:w="80"/>
              <w:left w:type="dxa" w:w="100"/>
              <w:bottom w:type="dxa" w:w="80"/>
              <w:right w:type="dxa" w:w="100"/>
            </w:tcMar>
            <w:vAlign w:val="center"/>
          </w:tcPr>
          <w:p>
            <w:pPr>
              <w:jc w:val="left"/>
            </w:pPr>
            <w:r>
              <w:rPr>
                <w:b w:val="false"/>
                <w:bCs w:val="false"/>
                <w:sz w:val="20"/>
                <w:szCs w:val="20"/>
              </w:rPr>
              <w:t xml:space="preserve">Konkurensi tinggi (goroutines), biner cepat, konsumsi memori rendah untuk memproses ribuan webhook WhatsApp bersamaan</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Frontend Web Dashboard</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Next.js + Tailwind CSS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SSG/SSR untuk rendering cepat; Tailwind untuk konsistensi UI dua-tenant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2600"/>
            <w:tcMar>
              <w:top w:type="dxa" w:w="80"/>
              <w:left w:type="dxa" w:w="100"/>
              <w:bottom w:type="dxa" w:w="80"/>
              <w:right w:type="dxa" w:w="100"/>
            </w:tcMar>
            <w:vAlign w:val="center"/>
          </w:tcPr>
          <w:p>
            <w:pPr>
              <w:jc w:val="left"/>
            </w:pPr>
            <w:r>
              <w:rPr>
                <w:b w:val="false"/>
                <w:bCs w:val="false"/>
                <w:sz w:val="20"/>
                <w:szCs w:val="20"/>
              </w:rPr>
              <w:t xml:space="preserve">PostgreSQL + Row-Level Security</w:t>
            </w:r>
          </w:p>
        </w:tc>
        <w:tc>
          <w:tcPr>
            <w:tcW w:type="dxa" w:w="5600"/>
            <w:tcMar>
              <w:top w:type="dxa" w:w="80"/>
              <w:left w:type="dxa" w:w="100"/>
              <w:bottom w:type="dxa" w:w="80"/>
              <w:right w:type="dxa" w:w="100"/>
            </w:tcMar>
            <w:vAlign w:val="center"/>
          </w:tcPr>
          <w:p>
            <w:pPr>
              <w:jc w:val="left"/>
            </w:pPr>
            <w:r>
              <w:rPr>
                <w:b w:val="false"/>
                <w:bCs w:val="false"/>
                <w:sz w:val="20"/>
                <w:szCs w:val="20"/>
              </w:rPr>
              <w:t xml:space="preserve">NUMERIC presisi tinggi mencegah galat pembulatan; RLS untuk isolasi data antar-tenant di level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Asynchronous Pipeline</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Redis Queue + Background Workers</w:t>
            </w:r>
          </w:p>
        </w:tc>
        <w:tc>
          <w:tcPr>
            <w:tcW w:type="dxa" w:w="5600"/>
            <w:shd w:fill="F2F6FA" w:val="clear"/>
            <w:tcMar>
              <w:top w:type="dxa" w:w="80"/>
              <w:left w:type="dxa" w:w="100"/>
              <w:bottom w:type="dxa" w:w="80"/>
              <w:right w:type="dxa" w:w="100"/>
            </w:tcMar>
            <w:vAlign w:val="center"/>
          </w:tcPr>
          <w:p>
            <w:pPr>
              <w:jc w:val="left"/>
            </w:pPr>
            <w:r>
              <w:rPr>
                <w:b w:val="false"/>
                <w:bCs w:val="false"/>
                <w:sz w:val="20"/>
                <w:szCs w:val="20"/>
              </w:rPr>
              <w:t xml:space="preserve">Memisahkan tugas berat (generate PDF, broadcast notifikasi) dari server utama agar tidak timeout/downtime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API Gateway Messaging</w:t>
            </w:r>
          </w:p>
        </w:tc>
        <w:tc>
          <w:tcPr>
            <w:tcW w:type="dxa" w:w="2600"/>
            <w:tcMar>
              <w:top w:type="dxa" w:w="80"/>
              <w:left w:type="dxa" w:w="100"/>
              <w:bottom w:type="dxa" w:w="80"/>
              <w:right w:type="dxa" w:w="100"/>
            </w:tcMar>
            <w:vAlign w:val="center"/>
          </w:tcPr>
          <w:p>
            <w:pPr>
              <w:jc w:val="left"/>
            </w:pPr>
            <w:r>
              <w:rPr>
                <w:b w:val="false"/>
                <w:bCs w:val="false"/>
                <w:sz w:val="20"/>
                <w:szCs w:val="20"/>
              </w:rPr>
              <w:t xml:space="preserve">WAHA (WhatsApp HTTP API), Dual-Engine</w:t>
            </w:r>
          </w:p>
        </w:tc>
        <w:tc>
          <w:tcPr>
            <w:tcW w:type="dxa" w:w="5600"/>
            <w:tcMar>
              <w:top w:type="dxa" w:w="80"/>
              <w:left w:type="dxa" w:w="100"/>
              <w:bottom w:type="dxa" w:w="80"/>
              <w:right w:type="dxa" w:w="100"/>
            </w:tcMar>
            <w:vAlign w:val="center"/>
          </w:tcPr>
          <w:p>
            <w:pPr>
              <w:jc w:val="left"/>
            </w:pPr>
            <w:r>
              <w:rPr>
                <w:b w:val="false"/>
                <w:bCs w:val="false"/>
                <w:sz w:val="20"/>
                <w:szCs w:val="20"/>
              </w:rPr>
              <w:t xml:space="preserve">Jembatan penghubung Golang dan WhatsApp; mendukung transisi dari Baileys (gratis, fase beta) menjadi Meta Cloud API (resmi, fase scaling) tanpa refactor kode</w:t>
            </w:r>
          </w:p>
        </w:tc>
      </w:tr>
    </w:tbl>
    <w:p>
      <w:pPr>
        <w:pStyle w:val="Heading2"/>
        <w:spacing w:after="120" w:before="260"/>
      </w:pPr>
      <w:r>
        <w:t xml:space="preserve">5.1 Strategi Dual-Engine WAHA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54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Fase</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Mesin</w:t>
            </w:r>
          </w:p>
        </w:tc>
        <w:tc>
          <w:tcPr>
            <w:tcW w:type="dxa" w:w="5400"/>
            <w:shd w:fill="1F3864" w:val="clear"/>
            <w:tcMar>
              <w:top w:type="dxa" w:w="80"/>
              <w:left w:type="dxa" w:w="100"/>
              <w:bottom w:type="dxa" w:w="80"/>
              <w:right w:type="dxa" w:w="100"/>
            </w:tcMar>
            <w:vAlign w:val="center"/>
          </w:tcPr>
          <w:p>
            <w:pPr>
              <w:jc w:val="left"/>
            </w:pPr>
            <w:r>
              <w:rPr>
                <w:b/>
                <w:bCs/>
                <w:color w:val="FFFFFF"/>
                <w:sz w:val="20"/>
                <w:szCs w:val="20"/>
              </w:rPr>
              <w:t xml:space="preserve">Karakteristik</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MVP &amp; Beta (Bulan 1–6)</w:t>
            </w:r>
          </w:p>
        </w:tc>
        <w:tc>
          <w:tcPr>
            <w:tcW w:type="dxa" w:w="3200"/>
            <w:tcMar>
              <w:top w:type="dxa" w:w="80"/>
              <w:left w:type="dxa" w:w="100"/>
              <w:bottom w:type="dxa" w:w="80"/>
              <w:right w:type="dxa" w:w="100"/>
            </w:tcMar>
            <w:vAlign w:val="center"/>
          </w:tcPr>
          <w:p>
            <w:pPr>
              <w:jc w:val="left"/>
            </w:pPr>
            <w:r>
              <w:rPr>
                <w:b w:val="false"/>
                <w:bCs w:val="false"/>
                <w:sz w:val="20"/>
                <w:szCs w:val="20"/>
              </w:rPr>
              <w:t xml:space="preserve">Unofficial (Baileys/Web)</w:t>
            </w:r>
          </w:p>
        </w:tc>
        <w:tc>
          <w:tcPr>
            <w:tcW w:type="dxa" w:w="5400"/>
            <w:tcMar>
              <w:top w:type="dxa" w:w="80"/>
              <w:left w:type="dxa" w:w="100"/>
              <w:bottom w:type="dxa" w:w="80"/>
              <w:right w:type="dxa" w:w="100"/>
            </w:tcMar>
            <w:vAlign w:val="center"/>
          </w:tcPr>
          <w:p>
            <w:pPr>
              <w:jc w:val="left"/>
            </w:pPr>
            <w:r>
              <w:rPr>
                <w:b w:val="false"/>
                <w:bCs w:val="false"/>
                <w:sz w:val="20"/>
                <w:szCs w:val="20"/>
              </w:rPr>
              <w:t xml:space="preserve">Gratis (bebas biaya per percakapan Meta), bebas iterasi Regex &amp; UX tanpa approval template pesan</w:t>
            </w:r>
          </w:p>
        </w:tc>
      </w:tr>
      <w:tr>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Scaling Komersial (Bulan 7–12)</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Official (Meta Cloud API)</w:t>
            </w:r>
          </w:p>
        </w:tc>
        <w:tc>
          <w:tcPr>
            <w:tcW w:type="dxa" w:w="5400"/>
            <w:shd w:fill="F2F6FA" w:val="clear"/>
            <w:tcMar>
              <w:top w:type="dxa" w:w="80"/>
              <w:left w:type="dxa" w:w="100"/>
              <w:bottom w:type="dxa" w:w="80"/>
              <w:right w:type="dxa" w:w="100"/>
            </w:tcMar>
            <w:vAlign w:val="center"/>
          </w:tcPr>
          <w:p>
            <w:pPr>
              <w:jc w:val="left"/>
            </w:pPr>
            <w:r>
              <w:rPr>
                <w:b w:val="false"/>
                <w:bCs w:val="false"/>
                <w:sz w:val="20"/>
                <w:szCs w:val="20"/>
              </w:rPr>
              <w:t xml:space="preserve">Diaktifkan dengan environment variable WHATSAPP_DEFAULT_ENGINE=NOWEB — zero refactoring kode Golang; stabilitas enterprise-grade</w:t>
            </w:r>
          </w:p>
        </w:tc>
      </w:tr>
    </w:tbl>
    <w:p>
      <w:pPr>
        <w:pStyle w:val="Heading1"/>
        <w:spacing w:after="160" w:before="360"/>
      </w:pPr>
      <w:r>
        <w:t xml:space="preserve">6. Detailed Functional Specifications</w:t>
      </w:r>
    </w:p>
    <w:p>
      <w:pPr>
        <w:pStyle w:val="Heading2"/>
        <w:spacing w:after="120" w:before="260"/>
      </w:pPr>
      <w:r>
        <w:t xml:space="preserve">6.1 Modul 1: WhatsApp Conversational Interface (WAHA Gateway)</w:t>
      </w:r>
    </w:p>
    <w:p>
      <w:pPr>
        <w:spacing w:after="160" w:line="276"/>
      </w:pPr>
      <w:r>
        <w:rPr>
          <w:i/>
          <w:iCs/>
          <w:color w:val="595959"/>
          <w:sz w:val="20"/>
          <w:szCs w:val="20"/>
        </w:rPr>
        <w:t xml:space="preserve">Domain Ownership: Backend / Core Engine.</w:t>
      </w:r>
    </w:p>
    <w:p>
      <w:pPr>
        <w:spacing w:after="160" w:line="276"/>
      </w:pPr>
      <w:r>
        <w:t xml:space="preserve">Tujuan: menjadikan WhatsApp sebagai jalur I/O utama di lapangan dengan prinsip Zero-Learning Curve.</w:t>
      </w:r>
    </w:p>
    <w:p>
      <w:pPr>
        <w:pStyle w:val="ListParagraph"/>
        <w:numPr>
          <w:ilvl w:val="0"/>
          <w:numId w:val="2"/>
        </w:numPr>
        <w:spacing w:after="80" w:line="276"/>
      </w:pPr>
      <w:r>
        <w:t xml:space="preserve">Mengintegrasikan WAHA (WhatsApp HTTP API) sebagai API Gateway Wrapper.</w:t>
      </w:r>
    </w:p>
    <w:p>
      <w:pPr>
        <w:pStyle w:val="ListParagraph"/>
        <w:numPr>
          <w:ilvl w:val="0"/>
          <w:numId w:val="2"/>
        </w:numPr>
        <w:spacing w:after="80" w:line="276"/>
      </w:pPr>
      <w:r>
        <w:t xml:space="preserve">Dual-Engine Configuration: mesin Baileys (Unofficial) pada fase Beta (Bulan 1–6) bebas biaya per percakapan; variabel lingkungan WHATSAPP_DEFAULT_ENGINE=NOWEB disiapkan agar sistem siap dialihkan ke Meta Official Cloud API pada fase komersial (Bulan 7–12) tanpa merombak arsitektur kode backend Golang.</w:t>
      </w:r>
    </w:p>
    <w:p>
      <w:pPr>
        <w:pStyle w:val="ListParagraph"/>
        <w:numPr>
          <w:ilvl w:val="0"/>
          <w:numId w:val="2"/>
        </w:numPr>
        <w:spacing w:after="80" w:line="276"/>
      </w:pPr>
      <w:r>
        <w:t xml:space="preserve">Regex Parser Engine — backend wajib mengurai pesan masuk menggunakan pola baku:</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^(OMZET|BEBAN|PRIBADI)\s+([0-9.]+)\s+([0-9]{2}-[0-9]{2}-[0-9]{4})\s+(.+)$</w:t>
      </w:r>
      <w:r>
        <w:rPr>
          <w:rFonts w:ascii="Consolas" w:cs="Consolas" w:eastAsia="Consolas" w:hAnsi="Consolas"/>
          <w:sz w:val="17"/>
          <w:szCs w:val="17"/>
        </w:rPr>
        <w:br/>
        <w:t xml:space="preserve"/>
      </w:r>
      <w:r>
        <w:rPr>
          <w:rFonts w:ascii="Consolas" w:cs="Consolas" w:eastAsia="Consolas" w:hAnsi="Consolas"/>
          <w:sz w:val="17"/>
          <w:szCs w:val="17"/>
        </w:rPr>
        <w:br/>
        <w:t xml:space="preserve">Contoh input: OMZET 500000 16-07-2026 PENJUALAN WARUNG</w:t>
      </w:r>
    </w:p>
    <w:p>
      <w:pPr>
        <w:pStyle w:val="ListParagraph"/>
        <w:numPr>
          <w:ilvl w:val="0"/>
          <w:numId w:val="2"/>
        </w:numPr>
        <w:spacing w:after="80" w:line="276"/>
      </w:pPr>
      <w:r>
        <w:t xml:space="preserve">Fallback Error Handling: jika input tidak sesuai format, bot dilarang menebak. Bot wajib membalas panduan interaktif: "Format tidak dikenali. Contoh yang benar: OMZET 500000 16-07-2026 [Keterangan]" tanpa memutuskan sesi obrolan.</w:t>
      </w:r>
    </w:p>
    <w:p>
      <w:pPr>
        <w:pStyle w:val="Heading2"/>
        <w:spacing w:after="120" w:before="260"/>
      </w:pPr>
      <w:r>
        <w:t xml:space="preserve">6.2 Modul 2: Deterministic PP 20/2026 Tax Engine</w:t>
      </w:r>
    </w:p>
    <w:p>
      <w:pPr>
        <w:spacing w:after="160" w:line="276"/>
      </w:pPr>
      <w:r>
        <w:rPr>
          <w:i/>
          <w:iCs/>
          <w:color w:val="595959"/>
          <w:sz w:val="20"/>
          <w:szCs w:val="20"/>
        </w:rPr>
        <w:t xml:space="preserve">Domain Ownership: Backend / Core Engine.</w:t>
      </w:r>
    </w:p>
    <w:p>
      <w:pPr>
        <w:spacing w:after="160" w:line="276"/>
      </w:pPr>
      <w:r>
        <w:t xml:space="preserve">Tujuan: menghitung kewajiban PPh Final 0,5% secara presisi waktu nyata (real-time) berdasarkan jenis entitas hukum dan akumulasi omzet tahun berjalan, sesuai PP Nomor 20 Tahun 2026 (revisi atas PP 55/2022), bebas dari kesalahan hitung dan halusinasi.</w:t>
      </w:r>
    </w:p>
    <w:p>
      <w:pPr>
        <w:pStyle w:val="Heading3"/>
        <w:spacing w:after="100" w:before="200"/>
      </w:pPr>
      <w:r>
        <w:t xml:space="preserve">A. Aturan Utama Kalkulasi (Guardrails)</w:t>
      </w:r>
    </w:p>
    <w:p>
      <w:pPr>
        <w:pStyle w:val="ListParagraph"/>
        <w:numPr>
          <w:ilvl w:val="0"/>
          <w:numId w:val="2"/>
        </w:numPr>
        <w:spacing w:after="80" w:line="276"/>
      </w:pPr>
      <w:r>
        <w:t xml:space="preserve">Tipe Data Wajib: seluruh kalkulasi nominal finansial wajib menggunakan tipe data NUMERIC(15, 2) pada PostgreSQL dan pustaka presisi desimal (mis. shopspring/decimal di Golang). Dilarang keras menggunakan FLOAT atau DOUBLE.</w:t>
      </w:r>
    </w:p>
    <w:p>
      <w:pPr>
        <w:pStyle w:val="ListParagraph"/>
        <w:numPr>
          <w:ilvl w:val="0"/>
          <w:numId w:val="2"/>
        </w:numPr>
        <w:spacing w:after="80" w:line="276"/>
      </w:pPr>
      <w:r>
        <w:t xml:space="preserve">Filter Eligibilitas Entitas (PP 20/2026):</w:t>
      </w:r>
    </w:p>
    <w:p>
      <w:pPr>
        <w:pStyle w:val="ListParagraph"/>
        <w:numPr>
          <w:ilvl w:val="1"/>
          <w:numId w:val="2"/>
        </w:numPr>
        <w:spacing w:after="80" w:line="276"/>
      </w:pPr>
      <w:r>
        <w:t xml:space="preserve">Eligible PPh Final 0,5% (Permanen): Wajib Pajak Orang Pribadi (ORANG_PRIBADI) dan PT Perorangan (PT_PERORANGAN).</w:t>
      </w:r>
    </w:p>
    <w:p>
      <w:pPr>
        <w:pStyle w:val="ListParagraph"/>
        <w:numPr>
          <w:ilvl w:val="1"/>
          <w:numId w:val="2"/>
        </w:numPr>
        <w:spacing w:after="80" w:line="276"/>
      </w:pPr>
      <w:r>
        <w:t xml:space="preserve">Non-Eligible sejak Hari Ke-1: badan usaha umum (CV, PT_BIASA, FIRMA) berlabel BADAN_NON_ELIGIBLE. Untuk entitas ini, Tax Engine otomatis mengunci tarif PPh Final = Rp0 dan melabeli akun dengan status: "WAJIB PEMBUKUAN NORMAL (PASAL 17/31E) - DIARAHKAN KE KONSULTAN".</w:t>
      </w:r>
    </w:p>
    <w:p>
      <w:pPr>
        <w:pStyle w:val="ListParagraph"/>
        <w:numPr>
          <w:ilvl w:val="0"/>
          <w:numId w:val="2"/>
        </w:numPr>
        <w:spacing w:after="80" w:line="276"/>
      </w:pPr>
      <w:r>
        <w:t xml:space="preserve">Ambang Batas Naik Kelas (Graduation Threshold &gt; Rp4,8 Miliar):</w:t>
      </w:r>
    </w:p>
    <w:p>
      <w:pPr>
        <w:pStyle w:val="ListParagraph"/>
        <w:numPr>
          <w:ilvl w:val="1"/>
          <w:numId w:val="2"/>
        </w:numPr>
        <w:spacing w:after="80" w:line="276"/>
      </w:pPr>
      <w:r>
        <w:t xml:space="preserve">Jika akumulasi omzet tahun berjalan menembus Rp4.800.000.000, entitas resmi gugur dari PPh Final 0,5% dan wajib dikukuhkan sebagai Pengusaha Kena Pajak (PKP).</w:t>
      </w:r>
    </w:p>
    <w:p>
      <w:pPr>
        <w:pStyle w:val="ListParagraph"/>
        <w:numPr>
          <w:ilvl w:val="1"/>
          <w:numId w:val="2"/>
        </w:numPr>
        <w:spacing w:after="80" w:line="276"/>
      </w:pPr>
      <w:r>
        <w:t xml:space="preserve">Action Engine: hentikan kalkulasi 0,5% untuk transaksi berikutnya, ubah status database is_pkp_graduated = TRUE, dan picu notifikasi Early Warning System via WAHA.</w:t>
      </w:r>
    </w:p>
    <w:p>
      <w:pPr>
        <w:pStyle w:val="Heading3"/>
        <w:spacing w:after="100" w:before="200"/>
      </w:pPr>
      <w:r>
        <w:t xml:space="preserve">B. Algoritma &amp; Logika Transisi Batas Rp500 Juta (Acuan Implementasi Backend)</w:t>
      </w:r>
    </w:p>
    <w:p>
      <w:pPr>
        <w:spacing w:after="160" w:line="276"/>
      </w:pPr>
      <w:r>
        <w:t xml:space="preserve">Saat transaksi baru bertipe OMZET masuk, sistem wajib menjalankan logika kondisional berikut. Pseudocode Golang ini menjadi acuan implementasi resmi backend agar tidak ada ambiguitas rumus pada titik transisi Rp500 Juta maupun Rp4,8 Miliar:</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 KODE LOGIKA GOLANG - MODUL 2: TAX ENGINE (DETERMINISTIC)</w:t>
      </w:r>
      <w:r>
        <w:rPr>
          <w:rFonts w:ascii="Consolas" w:cs="Consolas" w:eastAsia="Consolas" w:hAnsi="Consolas"/>
          <w:sz w:val="17"/>
          <w:szCs w:val="17"/>
        </w:rPr>
        <w:br/>
        <w:t xml:space="preserve">func CalculateTax(db *sql.DB, clientID string, trxAmount decimal.Decimal, trxDate time.Time) (decimal.Decimal, error) {</w:t>
      </w:r>
      <w:r>
        <w:rPr>
          <w:rFonts w:ascii="Consolas" w:cs="Consolas" w:eastAsia="Consolas" w:hAnsi="Consolas"/>
          <w:sz w:val="17"/>
          <w:szCs w:val="17"/>
        </w:rPr>
        <w:br/>
        <w:t xml:space="preserve">    // 1. Cek Jenis Entitas &amp; Status PKP</w:t>
      </w:r>
      <w:r>
        <w:rPr>
          <w:rFonts w:ascii="Consolas" w:cs="Consolas" w:eastAsia="Consolas" w:hAnsi="Consolas"/>
          <w:sz w:val="17"/>
          <w:szCs w:val="17"/>
        </w:rPr>
        <w:br/>
        <w:t xml:space="preserve">    var businessType string</w:t>
      </w:r>
      <w:r>
        <w:rPr>
          <w:rFonts w:ascii="Consolas" w:cs="Consolas" w:eastAsia="Consolas" w:hAnsi="Consolas"/>
          <w:sz w:val="17"/>
          <w:szCs w:val="17"/>
        </w:rPr>
        <w:br/>
        <w:t xml:space="preserve">    var isPkpGraduated bool</w:t>
      </w:r>
      <w:r>
        <w:rPr>
          <w:rFonts w:ascii="Consolas" w:cs="Consolas" w:eastAsia="Consolas" w:hAnsi="Consolas"/>
          <w:sz w:val="17"/>
          <w:szCs w:val="17"/>
        </w:rPr>
        <w:br/>
        <w:t xml:space="preserve">    err := db.QueryRow("SELECT business_type, is_pkp_graduated FROM clients WHERE id = $1", clientID).Scan(&amp;businessType, &amp;isPkpGraduated)</w:t>
      </w:r>
      <w:r>
        <w:rPr>
          <w:rFonts w:ascii="Consolas" w:cs="Consolas" w:eastAsia="Consolas" w:hAnsi="Consolas"/>
          <w:sz w:val="17"/>
          <w:szCs w:val="17"/>
        </w:rPr>
        <w:br/>
        <w:t xml:space="preserve">    if err != nil { return decimal.Zero, err }</w:t>
      </w:r>
      <w:r>
        <w:rPr>
          <w:rFonts w:ascii="Consolas" w:cs="Consolas" w:eastAsia="Consolas" w:hAnsi="Consolas"/>
          <w:sz w:val="17"/>
          <w:szCs w:val="17"/>
        </w:rPr>
        <w:br/>
        <w:t xml:space="preserve"/>
      </w:r>
      <w:r>
        <w:rPr>
          <w:rFonts w:ascii="Consolas" w:cs="Consolas" w:eastAsia="Consolas" w:hAnsi="Consolas"/>
          <w:sz w:val="17"/>
          <w:szCs w:val="17"/>
        </w:rPr>
        <w:br/>
        <w:t xml:space="preserve">    // Jika CV/PT biasa atau sudah lulus &gt; Rp4,8 Miliar, hentikan kalkulasi PPh Final</w:t>
      </w:r>
      <w:r>
        <w:rPr>
          <w:rFonts w:ascii="Consolas" w:cs="Consolas" w:eastAsia="Consolas" w:hAnsi="Consolas"/>
          <w:sz w:val="17"/>
          <w:szCs w:val="17"/>
        </w:rPr>
        <w:br/>
        <w:t xml:space="preserve">    if businessType == "BADAN_NON_ELIGIBLE" || isPkpGraduated {</w:t>
      </w:r>
      <w:r>
        <w:rPr>
          <w:rFonts w:ascii="Consolas" w:cs="Consolas" w:eastAsia="Consolas" w:hAnsi="Consolas"/>
          <w:sz w:val="17"/>
          <w:szCs w:val="17"/>
        </w:rPr>
        <w:br/>
        <w:t xml:space="preserve">        return decimal.Zero, nil</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 2. Ambil Akumulasi Omzet Sebelum Transaksi Ini (Tahun Berjalan)</w:t>
      </w:r>
      <w:r>
        <w:rPr>
          <w:rFonts w:ascii="Consolas" w:cs="Consolas" w:eastAsia="Consolas" w:hAnsi="Consolas"/>
          <w:sz w:val="17"/>
          <w:szCs w:val="17"/>
        </w:rPr>
        <w:br/>
        <w:t xml:space="preserve">    var omzetSebelumnya decimal.Decimal</w:t>
      </w:r>
      <w:r>
        <w:rPr>
          <w:rFonts w:ascii="Consolas" w:cs="Consolas" w:eastAsia="Consolas" w:hAnsi="Consolas"/>
          <w:sz w:val="17"/>
          <w:szCs w:val="17"/>
        </w:rPr>
        <w:br/>
        <w:t xml:space="preserve">    query := `SELECT COALESCE(SUM(amount), 0) FROM transactions</w:t>
      </w:r>
      <w:r>
        <w:rPr>
          <w:rFonts w:ascii="Consolas" w:cs="Consolas" w:eastAsia="Consolas" w:hAnsi="Consolas"/>
          <w:sz w:val="17"/>
          <w:szCs w:val="17"/>
        </w:rPr>
        <w:br/>
        <w:t xml:space="preserve">              WHERE client_id = $1 AND type = 'OMZET'</w:t>
      </w:r>
      <w:r>
        <w:rPr>
          <w:rFonts w:ascii="Consolas" w:cs="Consolas" w:eastAsia="Consolas" w:hAnsi="Consolas"/>
          <w:sz w:val="17"/>
          <w:szCs w:val="17"/>
        </w:rPr>
        <w:br/>
        <w:t xml:space="preserve">              AND EXTRACT(YEAR FROM transaction_date) = EXTRACT(YEAR FROM $2::date)`</w:t>
      </w:r>
      <w:r>
        <w:rPr>
          <w:rFonts w:ascii="Consolas" w:cs="Consolas" w:eastAsia="Consolas" w:hAnsi="Consolas"/>
          <w:sz w:val="17"/>
          <w:szCs w:val="17"/>
        </w:rPr>
        <w:br/>
        <w:t xml:space="preserve">    db.QueryRow(query, clientID, trxDate).Scan(&amp;omzetSebelumnya)</w:t>
      </w:r>
      <w:r>
        <w:rPr>
          <w:rFonts w:ascii="Consolas" w:cs="Consolas" w:eastAsia="Consolas" w:hAnsi="Consolas"/>
          <w:sz w:val="17"/>
          <w:szCs w:val="17"/>
        </w:rPr>
        <w:br/>
        <w:t xml:space="preserve"/>
      </w:r>
      <w:r>
        <w:rPr>
          <w:rFonts w:ascii="Consolas" w:cs="Consolas" w:eastAsia="Consolas" w:hAnsi="Consolas"/>
          <w:sz w:val="17"/>
          <w:szCs w:val="17"/>
        </w:rPr>
        <w:br/>
        <w:t xml:space="preserve">    // 3. Definisi Ambang Batas</w:t>
      </w:r>
      <w:r>
        <w:rPr>
          <w:rFonts w:ascii="Consolas" w:cs="Consolas" w:eastAsia="Consolas" w:hAnsi="Consolas"/>
          <w:sz w:val="17"/>
          <w:szCs w:val="17"/>
        </w:rPr>
        <w:br/>
        <w:t xml:space="preserve">    batasBebasPajak := decimal.NewFromInt(500000000)      // Rp 500.000.000</w:t>
      </w:r>
      <w:r>
        <w:rPr>
          <w:rFonts w:ascii="Consolas" w:cs="Consolas" w:eastAsia="Consolas" w:hAnsi="Consolas"/>
          <w:sz w:val="17"/>
          <w:szCs w:val="17"/>
        </w:rPr>
        <w:br/>
        <w:t xml:space="preserve">    batasGraduasiPKP := decimal.NewFromInt(4800000000)    // Rp 4.800.000.000</w:t>
      </w:r>
      <w:r>
        <w:rPr>
          <w:rFonts w:ascii="Consolas" w:cs="Consolas" w:eastAsia="Consolas" w:hAnsi="Consolas"/>
          <w:sz w:val="17"/>
          <w:szCs w:val="17"/>
        </w:rPr>
        <w:br/>
        <w:t xml:space="preserve">    tarif05 := decimal.NewFromFloat(0.005)                // 0.5%</w:t>
      </w:r>
      <w:r>
        <w:rPr>
          <w:rFonts w:ascii="Consolas" w:cs="Consolas" w:eastAsia="Consolas" w:hAnsi="Consolas"/>
          <w:sz w:val="17"/>
          <w:szCs w:val="17"/>
        </w:rPr>
        <w:br/>
        <w:t xml:space="preserve"/>
      </w:r>
      <w:r>
        <w:rPr>
          <w:rFonts w:ascii="Consolas" w:cs="Consolas" w:eastAsia="Consolas" w:hAnsi="Consolas"/>
          <w:sz w:val="17"/>
          <w:szCs w:val="17"/>
        </w:rPr>
        <w:br/>
        <w:t xml:space="preserve">    totalOmzetSetelahnya := omzetSebelumnya.Add(trxAmount)</w:t>
      </w:r>
      <w:r>
        <w:rPr>
          <w:rFonts w:ascii="Consolas" w:cs="Consolas" w:eastAsia="Consolas" w:hAnsi="Consolas"/>
          <w:sz w:val="17"/>
          <w:szCs w:val="17"/>
        </w:rPr>
        <w:br/>
        <w:t xml:space="preserve"/>
      </w:r>
      <w:r>
        <w:rPr>
          <w:rFonts w:ascii="Consolas" w:cs="Consolas" w:eastAsia="Consolas" w:hAnsi="Consolas"/>
          <w:sz w:val="17"/>
          <w:szCs w:val="17"/>
        </w:rPr>
        <w:br/>
        <w:t xml:space="preserve">    // 4. Cek Graduation Threshold (&gt; Rp 4,8 Miliar)</w:t>
      </w:r>
      <w:r>
        <w:rPr>
          <w:rFonts w:ascii="Consolas" w:cs="Consolas" w:eastAsia="Consolas" w:hAnsi="Consolas"/>
          <w:sz w:val="17"/>
          <w:szCs w:val="17"/>
        </w:rPr>
        <w:br/>
        <w:t xml:space="preserve">    if totalOmzetSetelahnya.GreaterThan(batasGraduasiPKP) {</w:t>
      </w:r>
      <w:r>
        <w:rPr>
          <w:rFonts w:ascii="Consolas" w:cs="Consolas" w:eastAsia="Consolas" w:hAnsi="Consolas"/>
          <w:sz w:val="17"/>
          <w:szCs w:val="17"/>
        </w:rPr>
        <w:br/>
        <w:t xml:space="preserve">        // Trigger asynchronous task: Update database &amp; kirim WAHA Graduation Alert</w:t>
      </w:r>
      <w:r>
        <w:rPr>
          <w:rFonts w:ascii="Consolas" w:cs="Consolas" w:eastAsia="Consolas" w:hAnsi="Consolas"/>
          <w:sz w:val="17"/>
          <w:szCs w:val="17"/>
        </w:rPr>
        <w:br/>
        <w:t xml:space="preserve">        go TriggerPKPGraduationPipeline(clientID, totalOmzetSetelahnya)</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 5. Kalkulasi PPh Final 0,5%</w:t>
      </w:r>
      <w:r>
        <w:rPr>
          <w:rFonts w:ascii="Consolas" w:cs="Consolas" w:eastAsia="Consolas" w:hAnsi="Consolas"/>
          <w:sz w:val="17"/>
          <w:szCs w:val="17"/>
        </w:rPr>
        <w:br/>
        <w:t xml:space="preserve">    if totalOmzetSetelahnya.LessThanOrEqual(batasBebasPajak) {</w:t>
      </w:r>
      <w:r>
        <w:rPr>
          <w:rFonts w:ascii="Consolas" w:cs="Consolas" w:eastAsia="Consolas" w:hAnsi="Consolas"/>
          <w:sz w:val="17"/>
          <w:szCs w:val="17"/>
        </w:rPr>
        <w:br/>
        <w:t xml:space="preserve">        // Skenario A: Masih di bawah Rp500 Juta (Gratis)</w:t>
      </w:r>
      <w:r>
        <w:rPr>
          <w:rFonts w:ascii="Consolas" w:cs="Consolas" w:eastAsia="Consolas" w:hAnsi="Consolas"/>
          <w:sz w:val="17"/>
          <w:szCs w:val="17"/>
        </w:rPr>
        <w:br/>
        <w:t xml:space="preserve">        return decimal.Zero, nil</w:t>
      </w:r>
      <w:r>
        <w:rPr>
          <w:rFonts w:ascii="Consolas" w:cs="Consolas" w:eastAsia="Consolas" w:hAnsi="Consolas"/>
          <w:sz w:val="17"/>
          <w:szCs w:val="17"/>
        </w:rPr>
        <w:br/>
        <w:t xml:space="preserve"/>
      </w:r>
      <w:r>
        <w:rPr>
          <w:rFonts w:ascii="Consolas" w:cs="Consolas" w:eastAsia="Consolas" w:hAnsi="Consolas"/>
          <w:sz w:val="17"/>
          <w:szCs w:val="17"/>
        </w:rPr>
        <w:br/>
        <w:t xml:space="preserve">    } else if omzetSebelumnya.LessThan(batasBebasPajak) &amp;&amp; totalOmzetSetelahnya.GreaterThan(batasBebasPajak) {</w:t>
      </w:r>
      <w:r>
        <w:rPr>
          <w:rFonts w:ascii="Consolas" w:cs="Consolas" w:eastAsia="Consolas" w:hAnsi="Consolas"/>
          <w:sz w:val="17"/>
          <w:szCs w:val="17"/>
        </w:rPr>
        <w:br/>
        <w:t xml:space="preserve">        // Skenario B: Transaksi Kritis (Melompati batas Rp500 Juta)</w:t>
      </w:r>
      <w:r>
        <w:rPr>
          <w:rFonts w:ascii="Consolas" w:cs="Consolas" w:eastAsia="Consolas" w:hAnsi="Consolas"/>
          <w:sz w:val="17"/>
          <w:szCs w:val="17"/>
        </w:rPr>
        <w:br/>
        <w:t xml:space="preserve">        // PPh 0,5% HANYA dihitung pada selisih angka yang melampaui Rp500 Juta</w:t>
      </w:r>
      <w:r>
        <w:rPr>
          <w:rFonts w:ascii="Consolas" w:cs="Consolas" w:eastAsia="Consolas" w:hAnsi="Consolas"/>
          <w:sz w:val="17"/>
          <w:szCs w:val="17"/>
        </w:rPr>
        <w:br/>
        <w:t xml:space="preserve">        selisihKenaPajak := totalOmzetSetelahnya.Sub(batasBebasPajak)</w:t>
      </w:r>
      <w:r>
        <w:rPr>
          <w:rFonts w:ascii="Consolas" w:cs="Consolas" w:eastAsia="Consolas" w:hAnsi="Consolas"/>
          <w:sz w:val="17"/>
          <w:szCs w:val="17"/>
        </w:rPr>
        <w:br/>
        <w:t xml:space="preserve">        pphTerutang := selisihKenaPajak.Mul(tarif05)</w:t>
      </w:r>
      <w:r>
        <w:rPr>
          <w:rFonts w:ascii="Consolas" w:cs="Consolas" w:eastAsia="Consolas" w:hAnsi="Consolas"/>
          <w:sz w:val="17"/>
          <w:szCs w:val="17"/>
        </w:rPr>
        <w:br/>
        <w:t xml:space="preserve">        return pphTerutang.Round(2), nil</w:t>
      </w:r>
      <w:r>
        <w:rPr>
          <w:rFonts w:ascii="Consolas" w:cs="Consolas" w:eastAsia="Consolas" w:hAnsi="Consolas"/>
          <w:sz w:val="17"/>
          <w:szCs w:val="17"/>
        </w:rPr>
        <w:br/>
        <w:t xml:space="preserve"/>
      </w:r>
      <w:r>
        <w:rPr>
          <w:rFonts w:ascii="Consolas" w:cs="Consolas" w:eastAsia="Consolas" w:hAnsi="Consolas"/>
          <w:sz w:val="17"/>
          <w:szCs w:val="17"/>
        </w:rPr>
        <w:br/>
        <w:t xml:space="preserve">    } else {</w:t>
      </w:r>
      <w:r>
        <w:rPr>
          <w:rFonts w:ascii="Consolas" w:cs="Consolas" w:eastAsia="Consolas" w:hAnsi="Consolas"/>
          <w:sz w:val="17"/>
          <w:szCs w:val="17"/>
        </w:rPr>
        <w:br/>
        <w:t xml:space="preserve">        // Skenario C: Sudah penuh di atas Rp500 Juta</w:t>
      </w:r>
      <w:r>
        <w:rPr>
          <w:rFonts w:ascii="Consolas" w:cs="Consolas" w:eastAsia="Consolas" w:hAnsi="Consolas"/>
          <w:sz w:val="17"/>
          <w:szCs w:val="17"/>
        </w:rPr>
        <w:br/>
        <w:t xml:space="preserve">        // Seluruh nominal transaksi baru dikali 0,5%</w:t>
      </w:r>
      <w:r>
        <w:rPr>
          <w:rFonts w:ascii="Consolas" w:cs="Consolas" w:eastAsia="Consolas" w:hAnsi="Consolas"/>
          <w:sz w:val="17"/>
          <w:szCs w:val="17"/>
        </w:rPr>
        <w:br/>
        <w:t xml:space="preserve">        pphTerutang := trxAmount.Mul(tarif05)</w:t>
      </w:r>
      <w:r>
        <w:rPr>
          <w:rFonts w:ascii="Consolas" w:cs="Consolas" w:eastAsia="Consolas" w:hAnsi="Consolas"/>
          <w:sz w:val="17"/>
          <w:szCs w:val="17"/>
        </w:rPr>
        <w:br/>
        <w:t xml:space="preserve">        return pphTerutang.Round(2), nil</w:t>
      </w:r>
      <w:r>
        <w:rPr>
          <w:rFonts w:ascii="Consolas" w:cs="Consolas" w:eastAsia="Consolas" w:hAnsi="Consolas"/>
          <w:sz w:val="17"/>
          <w:szCs w:val="17"/>
        </w:rPr>
        <w:br/>
        <w:t xml:space="preserve">    }</w:t>
      </w:r>
      <w:r>
        <w:rPr>
          <w:rFonts w:ascii="Consolas" w:cs="Consolas" w:eastAsia="Consolas" w:hAnsi="Consolas"/>
          <w:sz w:val="17"/>
          <w:szCs w:val="17"/>
        </w:rPr>
        <w:br/>
        <w:t xml:space="preserve">}</w:t>
      </w:r>
    </w:p>
    <w:p>
      <w:pPr>
        <w:pStyle w:val="Heading2"/>
        <w:spacing w:after="120" w:before="260"/>
      </w:pPr>
      <w:r>
        <w:t xml:space="preserve">6.3 Modul 3: Tenant A — End-User Portal (Dashboard UMKM Mandiri)</w:t>
      </w:r>
    </w:p>
    <w:p>
      <w:pPr>
        <w:spacing w:after="160" w:line="276"/>
      </w:pPr>
      <w:r>
        <w:rPr>
          <w:i/>
          <w:iCs/>
          <w:color w:val="595959"/>
          <w:sz w:val="20"/>
          <w:szCs w:val="20"/>
        </w:rPr>
        <w:t xml:space="preserve">Domain Ownership: Frontend / Web Dashboard.</w:t>
      </w:r>
    </w:p>
    <w:p>
      <w:pPr>
        <w:spacing w:after="160" w:line="276"/>
      </w:pPr>
      <w:r>
        <w:t xml:space="preserve">Tujuan: menyajikan antarmuka visual berbasis Next.js + Tailwind CSS yang intuitif dan bebas jargon akuntansi.</w:t>
      </w:r>
    </w:p>
    <w:p>
      <w:pPr>
        <w:pStyle w:val="ListParagraph"/>
        <w:numPr>
          <w:ilvl w:val="0"/>
          <w:numId w:val="2"/>
        </w:numPr>
        <w:spacing w:after="80" w:line="276"/>
      </w:pPr>
      <w:r>
        <w:t xml:space="preserve">Progress Bar PP 20/2026 Widget: meteran visual akumulasi omzet menuju Rp500 Juta dengan warna dinamis — Hijau (&lt;70%), Kuning (70–95%), Merah (≥100%, wajib bayar pajak). Widget ini hanya aktif penuh untuk entitas eligible (Orang Pribadi / PT Perorangan); untuk entitas BADAN_NON_ELIGIBLE, widget menampilkan badge "Pembukuan Normal" alih-alih meteran pajak.</w:t>
      </w:r>
    </w:p>
    <w:p>
      <w:pPr>
        <w:pStyle w:val="ListParagraph"/>
        <w:numPr>
          <w:ilvl w:val="0"/>
          <w:numId w:val="2"/>
        </w:numPr>
        <w:spacing w:after="80" w:line="276"/>
      </w:pPr>
      <w:r>
        <w:t xml:space="preserve">Real-Time Cashflow Visualizer: pie chart &amp; bar chart memisahkan "Omzet Kena Pajak" vs "Transaksi Non-Fiskal", wajib update otomatis via WebSockets/SWR saat transaksi dicatat di WhatsApp, tanpa reload halaman.</w:t>
      </w:r>
    </w:p>
    <w:p>
      <w:pPr>
        <w:pStyle w:val="ListParagraph"/>
        <w:numPr>
          <w:ilvl w:val="0"/>
          <w:numId w:val="2"/>
        </w:numPr>
        <w:spacing w:after="80" w:line="276"/>
      </w:pPr>
      <w:r>
        <w:t xml:space="preserve">Quick Correction Table: riwayat transaksi dengan tombol "Edit Nominal"/"Hapus Transaksi", dilengkapi validasi lock-date — tombol koreksi otomatis nonaktif (disabled) jika siklus bulan pajak telah ditutup sistem.</w:t>
      </w:r>
    </w:p>
    <w:p>
      <w:pPr>
        <w:pStyle w:val="ListParagraph"/>
        <w:numPr>
          <w:ilvl w:val="0"/>
          <w:numId w:val="2"/>
        </w:numPr>
        <w:spacing w:after="80" w:line="276"/>
      </w:pPr>
      <w:r>
        <w:t xml:space="preserve">Export Center UI: unduh 1-klik Draf SPT Bulanan (.PDF/.CSV) dan dokumen "Rekam Jejak Keuangan Audit-Ready" untuk lampiran pengajuan KUR bank.</w:t>
      </w:r>
    </w:p>
    <w:p>
      <w:pPr>
        <w:pStyle w:val="Heading2"/>
        <w:spacing w:after="120" w:before="260"/>
      </w:pPr>
      <w:r>
        <w:t xml:space="preserve">6.4 Modul 4: Tenant B — B2B Agency Portal (Dashboard Konsultan Pajak)</w:t>
      </w:r>
    </w:p>
    <w:p>
      <w:pPr>
        <w:spacing w:after="160" w:line="276"/>
      </w:pPr>
      <w:r>
        <w:rPr>
          <w:i/>
          <w:iCs/>
          <w:color w:val="595959"/>
          <w:sz w:val="20"/>
          <w:szCs w:val="20"/>
        </w:rPr>
        <w:t xml:space="preserve">Domain Ownership: Frontend / Web Dashboard.</w:t>
      </w:r>
    </w:p>
    <w:p>
      <w:pPr>
        <w:spacing w:after="160" w:line="276"/>
      </w:pPr>
      <w:r>
        <w:t xml:space="preserve">Tujuan: portal manajemen multi-klien bagi konsultan untuk mengawasi 20–50 klien UMKM sekaligus dalam satu layar (Bird's-Eye View).</w:t>
      </w:r>
    </w:p>
    <w:p>
      <w:pPr>
        <w:spacing w:after="160" w:line="276"/>
      </w:pPr>
      <w:r>
        <w:t xml:space="preserve">Pembaruan PP 20/2026: seluruh fitur onboarding dan monitoring klien wajib mengakomodasi filter eligibilitas entitas dan status graduasi PKP berikut.</w:t>
      </w:r>
    </w:p>
    <w:p>
      <w:pPr>
        <w:pStyle w:val="ListParagraph"/>
        <w:numPr>
          <w:ilvl w:val="0"/>
          <w:numId w:val="2"/>
        </w:numPr>
        <w:spacing w:after="80" w:line="276"/>
      </w:pPr>
      <w:r>
        <w:t xml:space="preserve">Client Traffic Light Table — algoritma penentu warna status kepatuhan:</w:t>
      </w:r>
    </w:p>
    <w:p>
      <w:pPr>
        <w:pStyle w:val="ListParagraph"/>
        <w:numPr>
          <w:ilvl w:val="1"/>
          <w:numId w:val="2"/>
        </w:numPr>
        <w:spacing w:after="80" w:line="276"/>
      </w:pPr>
      <w:r>
        <w:rPr>
          <w:b/>
          <w:bCs/>
          <w:color w:val="2E7D32"/>
        </w:rPr>
        <w:t xml:space="preserve">Hijau (Ready): </w:t>
      </w:r>
      <w:r>
        <w:t xml:space="preserve">pembukuan lengkap, omzet terverifikasi (&lt; Rp4,8 Miliar), draf SPT siap setor.</w:t>
      </w:r>
    </w:p>
    <w:p>
      <w:pPr>
        <w:pStyle w:val="ListParagraph"/>
        <w:numPr>
          <w:ilvl w:val="1"/>
          <w:numId w:val="2"/>
        </w:numPr>
        <w:spacing w:after="80" w:line="276"/>
      </w:pPr>
      <w:r>
        <w:rPr>
          <w:b/>
          <w:bCs/>
          <w:color w:val="B7950B"/>
        </w:rPr>
        <w:t xml:space="preserve">Kuning (Review Required): </w:t>
      </w:r>
      <w:r>
        <w:t xml:space="preserve">anomali transaksi atau omzet klien mendekati ambang Rp500 Juta.</w:t>
      </w:r>
    </w:p>
    <w:p>
      <w:pPr>
        <w:pStyle w:val="ListParagraph"/>
        <w:numPr>
          <w:ilvl w:val="1"/>
          <w:numId w:val="2"/>
        </w:numPr>
        <w:spacing w:after="80" w:line="276"/>
      </w:pPr>
      <w:r>
        <w:rPr>
          <w:b/>
          <w:bCs/>
          <w:color w:val="C0392B"/>
        </w:rPr>
        <w:t xml:space="preserve">Merah (Critical/Overdue): </w:t>
      </w:r>
      <w:r>
        <w:t xml:space="preserve">H-3 tenggat waktu namun klien belum input transaksi/belum lapor.</w:t>
      </w:r>
    </w:p>
    <w:p>
      <w:pPr>
        <w:pStyle w:val="ListParagraph"/>
        <w:numPr>
          <w:ilvl w:val="1"/>
          <w:numId w:val="2"/>
        </w:numPr>
        <w:spacing w:after="80" w:line="276"/>
      </w:pPr>
      <w:r>
        <w:rPr>
          <w:b/>
          <w:bCs/>
          <w:color w:val="6C3483"/>
        </w:rPr>
        <w:t xml:space="preserve">Ungu (Graduated / PKP Alert — BARU): </w:t>
      </w:r>
      <w:r>
        <w:t xml:space="preserve">akumulasi omzet klien telah menembus Rp4,8 Miliar. Menandakan klien wajib dikukuhkan sebagai PKP dan memerlukan layanan pendampingan pembukuan normal oleh konsultan dengan nilai kontrak profesional yang lebih tinggi.</w:t>
      </w:r>
    </w:p>
    <w:p>
      <w:pPr>
        <w:pStyle w:val="ListParagraph"/>
        <w:numPr>
          <w:ilvl w:val="0"/>
          <w:numId w:val="2"/>
        </w:numPr>
        <w:spacing w:after="80" w:line="276"/>
      </w:pPr>
      <w:r>
        <w:t xml:space="preserve">Client Switcher Dropdown: komponen navigasi cepat yang memicu perubahan global state di Next.js untuk memuat ulang seluruh data dasbor sesuai klien terpilih dalam hitungan milidetik.</w:t>
      </w:r>
    </w:p>
    <w:p>
      <w:pPr>
        <w:pStyle w:val="ListParagraph"/>
        <w:numPr>
          <w:ilvl w:val="0"/>
          <w:numId w:val="2"/>
        </w:numPr>
        <w:spacing w:after="80" w:line="276"/>
      </w:pPr>
      <w:r>
        <w:t xml:space="preserve">Anomaly Detection Alert Feed: panel notifikasi pintar yang mendeteksi salah klasifikasi transaksi klien (mis. pengeluaran pribadi tercatat sebagai beban usaha) untuk diverifikasi konsultan.</w:t>
      </w:r>
    </w:p>
    <w:p>
      <w:pPr>
        <w:pStyle w:val="ListParagraph"/>
        <w:numPr>
          <w:ilvl w:val="0"/>
          <w:numId w:val="2"/>
        </w:numPr>
        <w:spacing w:after="80" w:line="276"/>
      </w:pPr>
      <w:r>
        <w:t xml:space="preserve">1-Click Connect Onboarding UI (Pilihan Jenis Entitas — BARU): form tambah klien wajib melampirkan dropdown mandatory "Jenis Usaha": [Orang Pribadi] / [PT Perorangan] (eligible 0,5%) vs [CV / PT Biasa / Firma] (non-eligible).</w:t>
      </w:r>
    </w:p>
    <w:p>
      <w:pPr>
        <w:pStyle w:val="ListParagraph"/>
        <w:numPr>
          <w:ilvl w:val="1"/>
          <w:numId w:val="2"/>
        </w:numPr>
        <w:spacing w:after="80" w:line="276"/>
      </w:pPr>
      <w:r>
        <w:t xml:space="preserve">Jika konsultan memilih CV/PT Biasa, dasbor otomatis memunculkan badge peringatan: "Entitas ini wajib menggunakan Pembukuan Normal (Pasal 17/31E). Fitur rekap omzet aktif, kalkulator 0,5% dinonaktifkan."</w:t>
      </w:r>
    </w:p>
    <w:p>
      <w:pPr>
        <w:pStyle w:val="ListParagraph"/>
        <w:numPr>
          <w:ilvl w:val="0"/>
          <w:numId w:val="2"/>
        </w:numPr>
        <w:spacing w:after="80" w:line="276"/>
      </w:pPr>
      <w:r>
        <w:t xml:space="preserve">Form input Nomor WhatsApp klien tetap divalidasi format Indonesia +62/08. Tombol [Kirim Undangan Integrasi] memanggil API Golang agar bot WAHA mengirim undangan proaktif ("Ketik SETUJU..."); dilengkapi indikator status Terkirim / Dibaca / Menunggu Konfirmasi.</w:t>
      </w:r>
    </w:p>
    <w:p>
      <w:pPr>
        <w:pStyle w:val="ListParagraph"/>
        <w:numPr>
          <w:ilvl w:val="0"/>
          <w:numId w:val="2"/>
        </w:numPr>
        <w:spacing w:after="80" w:line="276"/>
      </w:pPr>
      <w:r>
        <w:t xml:space="preserve">Batch Export Actions: checkbox multi-select; tombol [Ekspor Massal (ZIP)] memicu worker backend merender seluruh dokumen PDF klien terpilih dan mengompresinya menjadi satu file .ZIP dengan progress bar waktu nyata.</w:t>
      </w:r>
    </w:p>
    <w:p>
      <w:pPr>
        <w:pStyle w:val="Heading2"/>
        <w:spacing w:after="120" w:before="260"/>
      </w:pPr>
      <w:r>
        <w:t xml:space="preserve">6.5 Modul 5: Immutable Audit Trail &amp; Anti-Spam Broadcast Engine</w:t>
      </w:r>
    </w:p>
    <w:p>
      <w:pPr>
        <w:spacing w:after="160" w:line="276"/>
      </w:pPr>
      <w:r>
        <w:rPr>
          <w:i/>
          <w:iCs/>
          <w:color w:val="595959"/>
          <w:sz w:val="20"/>
          <w:szCs w:val="20"/>
        </w:rPr>
        <w:t xml:space="preserve">Domain Ownership: Backend / Core Engine.</w:t>
      </w:r>
    </w:p>
    <w:p>
      <w:pPr>
        <w:spacing w:after="160" w:line="276"/>
      </w:pPr>
      <w:r>
        <w:t xml:space="preserve">Tujuan: menjamin keaslian data akuntansi dan mengotomasi pengiriman notifikasi pengingat lapor pajak.</w:t>
      </w:r>
    </w:p>
    <w:p>
      <w:pPr>
        <w:pStyle w:val="ListParagraph"/>
        <w:numPr>
          <w:ilvl w:val="0"/>
          <w:numId w:val="2"/>
        </w:numPr>
        <w:spacing w:after="80" w:line="276"/>
      </w:pPr>
      <w:r>
        <w:t xml:space="preserve">Hash Chaining Audit Trail: tabel audit_logs bersifat Append-Only (hak akses UPDATE dan DELETE dicabut dari database user aplikasi Golang).</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current_hash = SHA256(previous_hash + timestamp + amount + category + tenant_id)</w:t>
      </w:r>
    </w:p>
    <w:p>
      <w:pPr>
        <w:pStyle w:val="ListParagraph"/>
        <w:numPr>
          <w:ilvl w:val="0"/>
          <w:numId w:val="2"/>
        </w:numPr>
        <w:spacing w:after="80" w:line="276"/>
      </w:pPr>
      <w:r>
        <w:t xml:space="preserve">PDF Generator Worker: worker latar belakang (pustaka gofpdf di Golang) merender Draf SPT .PDF dan .CSV mengikuti standar layout e-Filing DJP dan lampiran analisis KUR perbankan. Output dikirim ke WAHA via endpoint POST /api/sendFileByUrl.</w:t>
      </w:r>
    </w:p>
    <w:p>
      <w:pPr>
        <w:pStyle w:val="ListParagraph"/>
        <w:numPr>
          <w:ilvl w:val="0"/>
          <w:numId w:val="2"/>
        </w:numPr>
        <w:spacing w:after="80" w:line="276"/>
      </w:pPr>
      <w:r>
        <w:t xml:space="preserve">Anti-Spam Broadcast Engine: cron job aktif H-7, H-3, H-1 (tanggal 8, 12, 14 setiap bulan) sebelum tenggat pembayaran pajak (tanggal 15) untuk memantau UMKM yang belum melapor. Tiga proteksi anti-blokir Meta wajib diterapkan di worker Redis:</w:t>
      </w:r>
    </w:p>
    <w:p>
      <w:pPr>
        <w:pStyle w:val="ListParagraph"/>
        <w:numPr>
          <w:ilvl w:val="1"/>
          <w:numId w:val="2"/>
        </w:numPr>
        <w:spacing w:after="80" w:line="276"/>
      </w:pPr>
      <w:r>
        <w:t xml:space="preserve">Rate Limiting: maksimal 15–20 pesan/menit per nomor gateway.</w:t>
      </w:r>
    </w:p>
    <w:p>
      <w:pPr>
        <w:pStyle w:val="ListParagraph"/>
        <w:numPr>
          <w:ilvl w:val="1"/>
          <w:numId w:val="2"/>
        </w:numPr>
        <w:spacing w:after="80" w:line="276"/>
      </w:pPr>
      <w:r>
        <w:t xml:space="preserve">Jitter Delay: jeda waktu acak (random sleep) 3–12 detik antar pesan.</w:t>
      </w:r>
    </w:p>
    <w:p>
      <w:pPr>
        <w:pStyle w:val="ListParagraph"/>
        <w:numPr>
          <w:ilvl w:val="1"/>
          <w:numId w:val="2"/>
        </w:numPr>
        <w:spacing w:after="80" w:line="276"/>
      </w:pPr>
      <w:r>
        <w:t xml:space="preserve">Dynamic Text Rotator: rotasi array kalimat sapaan/penutup agar pesan massal tidak identik 100%.</w:t>
      </w:r>
    </w:p>
    <w:p>
      <w:pPr>
        <w:pStyle w:val="Heading1"/>
        <w:spacing w:after="160" w:before="360"/>
      </w:pPr>
      <w:r>
        <w:t xml:space="preserve">7. End-to-End System Architecture &amp; Data Flows</w:t>
      </w:r>
    </w:p>
    <w:p>
      <w:pPr>
        <w:pStyle w:val="Heading2"/>
        <w:spacing w:after="120" w:before="260"/>
      </w:pPr>
      <w:r>
        <w:t xml:space="preserve">7.1 Flow A — Pencatatan Arus Kas &amp; Sinkronisasi Real-Time</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User UMKM di WhatsApp kirim teks:</w:t>
      </w:r>
      <w:r>
        <w:rPr>
          <w:rFonts w:ascii="Consolas" w:cs="Consolas" w:eastAsia="Consolas" w:hAnsi="Consolas"/>
          <w:sz w:val="17"/>
          <w:szCs w:val="17"/>
        </w:rPr>
        <w:br/>
        <w:t xml:space="preserve">   "OMZET 500000 16-07-2026 PENJUALAN WARUNG"</w:t>
      </w:r>
      <w:r>
        <w:rPr>
          <w:rFonts w:ascii="Consolas" w:cs="Consolas" w:eastAsia="Consolas" w:hAnsi="Consolas"/>
          <w:sz w:val="17"/>
          <w:szCs w:val="17"/>
        </w:rPr>
        <w:br/>
        <w:t xml:space="preserve">2. WAHA API Gateway terima Webhook HTTP POST (payload JSON)</w:t>
      </w:r>
      <w:r>
        <w:rPr>
          <w:rFonts w:ascii="Consolas" w:cs="Consolas" w:eastAsia="Consolas" w:hAnsi="Consolas"/>
          <w:sz w:val="17"/>
          <w:szCs w:val="17"/>
        </w:rPr>
        <w:br/>
        <w:t xml:space="preserve">3. Forward payload -&gt; POST /api/v1/webhooks/waha (Golang Backend Server)</w:t>
      </w:r>
      <w:r>
        <w:rPr>
          <w:rFonts w:ascii="Consolas" w:cs="Consolas" w:eastAsia="Consolas" w:hAnsi="Consolas"/>
          <w:sz w:val="17"/>
          <w:szCs w:val="17"/>
        </w:rPr>
        <w:br/>
        <w:t xml:space="preserve">4. Golang -&gt; Deterministic Tax Engine &amp; Regex Parser:</w:t>
      </w:r>
      <w:r>
        <w:rPr>
          <w:rFonts w:ascii="Consolas" w:cs="Consolas" w:eastAsia="Consolas" w:hAnsi="Consolas"/>
          <w:sz w:val="17"/>
          <w:szCs w:val="17"/>
        </w:rPr>
        <w:br/>
        <w:t xml:space="preserve">   - Ekstrak nominal (500000), tanggal, kategori</w:t>
      </w:r>
      <w:r>
        <w:rPr>
          <w:rFonts w:ascii="Consolas" w:cs="Consolas" w:eastAsia="Consolas" w:hAnsi="Consolas"/>
          <w:sz w:val="17"/>
          <w:szCs w:val="17"/>
        </w:rPr>
        <w:br/>
        <w:t xml:space="preserve">   - Cek eligibilitas entitas &amp; akumulasi omzet PP 20/2026 (&lt; Rp500 Juta / &gt; Rp500 Juta / &gt; Rp4,8 Miliar)</w:t>
      </w:r>
      <w:r>
        <w:rPr>
          <w:rFonts w:ascii="Consolas" w:cs="Consolas" w:eastAsia="Consolas" w:hAnsi="Consolas"/>
          <w:sz w:val="17"/>
          <w:szCs w:val="17"/>
        </w:rPr>
        <w:br/>
        <w:t xml:space="preserve">5. Generate SHA-256 hash chain &amp; simpan ke PostgreSQL Database</w:t>
      </w:r>
      <w:r>
        <w:rPr>
          <w:rFonts w:ascii="Consolas" w:cs="Consolas" w:eastAsia="Consolas" w:hAnsi="Consolas"/>
          <w:sz w:val="17"/>
          <w:szCs w:val="17"/>
        </w:rPr>
        <w:br/>
        <w:t xml:space="preserve">6. Trigger WebSockets/SWR event -&gt; Next.js Web Dashboard (real-time refresh UI)</w:t>
      </w:r>
      <w:r>
        <w:rPr>
          <w:rFonts w:ascii="Consolas" w:cs="Consolas" w:eastAsia="Consolas" w:hAnsi="Consolas"/>
          <w:sz w:val="17"/>
          <w:szCs w:val="17"/>
        </w:rPr>
        <w:br/>
        <w:t xml:space="preserve">7. Call API WAHA (send text) -&gt; WhatsApp User: "Transaksi Berhasil Dicatat!"</w:t>
      </w:r>
    </w:p>
    <w:p>
      <w:pPr>
        <w:pStyle w:val="Heading2"/>
        <w:spacing w:after="120" w:before="260"/>
      </w:pPr>
      <w:r>
        <w:t xml:space="preserve">7.2 Flow B — Ekspor Massal Draf SPT PDF (Batch Export)</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Konsultan di Web Dashboard centang 50 klien &amp; klik [Ekspor Massal (ZIP)]</w:t>
      </w:r>
      <w:r>
        <w:rPr>
          <w:rFonts w:ascii="Consolas" w:cs="Consolas" w:eastAsia="Consolas" w:hAnsi="Consolas"/>
          <w:sz w:val="17"/>
          <w:szCs w:val="17"/>
        </w:rPr>
        <w:br/>
        <w:t xml:space="preserve">2. Next.js Dashboard -&gt; Call API POST /api/v1/export/batch-spt</w:t>
      </w:r>
      <w:r>
        <w:rPr>
          <w:rFonts w:ascii="Consolas" w:cs="Consolas" w:eastAsia="Consolas" w:hAnsi="Consolas"/>
          <w:sz w:val="17"/>
          <w:szCs w:val="17"/>
        </w:rPr>
        <w:br/>
        <w:t xml:space="preserve">3. Golang Backend Server -&gt; Push task ke Redis Queue Worker</w:t>
      </w:r>
      <w:r>
        <w:rPr>
          <w:rFonts w:ascii="Consolas" w:cs="Consolas" w:eastAsia="Consolas" w:hAnsi="Consolas"/>
          <w:sz w:val="17"/>
          <w:szCs w:val="17"/>
        </w:rPr>
        <w:br/>
        <w:t xml:space="preserve">4. Redis Background Worker fetch rekapitulasi 50 klien dari PostgreSQL (dibatasi RLS)</w:t>
      </w:r>
      <w:r>
        <w:rPr>
          <w:rFonts w:ascii="Consolas" w:cs="Consolas" w:eastAsia="Consolas" w:hAnsi="Consolas"/>
          <w:sz w:val="17"/>
          <w:szCs w:val="17"/>
        </w:rPr>
        <w:br/>
        <w:t xml:space="preserve">5. Render 50 dokumen Draf SPT (.PDF &amp; .CSV) standar DJP via gofpdf</w:t>
      </w:r>
      <w:r>
        <w:rPr>
          <w:rFonts w:ascii="Consolas" w:cs="Consolas" w:eastAsia="Consolas" w:hAnsi="Consolas"/>
          <w:sz w:val="17"/>
          <w:szCs w:val="17"/>
        </w:rPr>
        <w:br/>
        <w:t xml:space="preserve">6. Kompresi seluruh berkas menjadi 1 file arsip .ZIP di Cloud Storage</w:t>
      </w:r>
      <w:r>
        <w:rPr>
          <w:rFonts w:ascii="Consolas" w:cs="Consolas" w:eastAsia="Consolas" w:hAnsi="Consolas"/>
          <w:sz w:val="17"/>
          <w:szCs w:val="17"/>
        </w:rPr>
        <w:br/>
        <w:t xml:space="preserve">7. Kirim notifikasi &amp; link unduhan ke Dashboard Konsultan / WhatsApp</w:t>
      </w:r>
    </w:p>
    <w:p>
      <w:pPr>
        <w:pStyle w:val="Heading2"/>
        <w:spacing w:after="120" w:before="260"/>
      </w:pPr>
      <w:r>
        <w:t xml:space="preserve">7.3 Flow C — 1-Click Connect &amp; Akses Konsultasi Sementara</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1. Konsultan di Web Dashboard input nomor WA UMKM &amp; klik [Kirim Undangan Integrasi]</w:t>
      </w:r>
      <w:r>
        <w:rPr>
          <w:rFonts w:ascii="Consolas" w:cs="Consolas" w:eastAsia="Consolas" w:hAnsi="Consolas"/>
          <w:sz w:val="17"/>
          <w:szCs w:val="17"/>
        </w:rPr>
        <w:br/>
        <w:t xml:space="preserve">2. Golang Backend Server -&gt; Call WAHA POST /api/sendText</w:t>
      </w:r>
      <w:r>
        <w:rPr>
          <w:rFonts w:ascii="Consolas" w:cs="Consolas" w:eastAsia="Consolas" w:hAnsi="Consolas"/>
          <w:sz w:val="17"/>
          <w:szCs w:val="17"/>
        </w:rPr>
        <w:br/>
        <w:t xml:space="preserve">3. WhatsApp User/UMKM terima pesan: "Konsultan [Pak Budi] meminta izin akses..."</w:t>
      </w:r>
      <w:r>
        <w:rPr>
          <w:rFonts w:ascii="Consolas" w:cs="Consolas" w:eastAsia="Consolas" w:hAnsi="Consolas"/>
          <w:sz w:val="17"/>
          <w:szCs w:val="17"/>
        </w:rPr>
        <w:br/>
        <w:t xml:space="preserve">4. UMKM balas: "SETUJU" (Full Managed) atau "IZIN 7 HARI" (Advisory Mode)</w:t>
      </w:r>
      <w:r>
        <w:rPr>
          <w:rFonts w:ascii="Consolas" w:cs="Consolas" w:eastAsia="Consolas" w:hAnsi="Consolas"/>
          <w:sz w:val="17"/>
          <w:szCs w:val="17"/>
        </w:rPr>
        <w:br/>
        <w:t xml:space="preserve">5. Golang Backend Server update tabel PostgreSQL (clients / client_access_grants)</w:t>
      </w:r>
      <w:r>
        <w:rPr>
          <w:rFonts w:ascii="Consolas" w:cs="Consolas" w:eastAsia="Consolas" w:hAnsi="Consolas"/>
          <w:sz w:val="17"/>
          <w:szCs w:val="17"/>
        </w:rPr>
        <w:br/>
        <w:t xml:space="preserve">6. RLS Policy terbuka: Konsultan langsung dapat melihat seluruh riwayat pembukuan</w:t>
      </w:r>
      <w:r>
        <w:rPr>
          <w:rFonts w:ascii="Consolas" w:cs="Consolas" w:eastAsia="Consolas" w:hAnsi="Consolas"/>
          <w:sz w:val="17"/>
          <w:szCs w:val="17"/>
        </w:rPr>
        <w:br/>
        <w:t xml:space="preserve">   historis milik UMKM tersebut sesuai mode &amp; durasi akses</w:t>
      </w:r>
    </w:p>
    <w:p>
      <w:pPr>
        <w:pStyle w:val="Heading1"/>
        <w:spacing w:after="160" w:before="360"/>
      </w:pPr>
      <w:r>
        <w:t xml:space="preserve">8. Database Schema DDL &amp; RLS Policies (PostgreSQL)</w:t>
      </w:r>
    </w:p>
    <w:p>
      <w:pPr>
        <w:spacing w:after="160" w:line="276"/>
      </w:pPr>
      <w:r>
        <w:t xml:space="preserve">Tim engineering wajib mengeksekusi Data Definition Language (DDL) berikut pada saat inisialisasi basis data. Seluruh kolom nominal wajib NUMERIC(15,2) — dilarang FLOAT/DOUBLE.</w:t>
      </w:r>
    </w:p>
    <w:p>
      <w:pPr>
        <w:pStyle w:val="Heading2"/>
        <w:spacing w:after="120" w:before="260"/>
      </w:pPr>
      <w:r>
        <w:t xml:space="preserve">8.1 Tabel Inti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8400"/>
      </w:tblGrid>
      <w:tr>
        <w:trPr>
          <w:tblHeader/>
        </w:trPr>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Tabel</w:t>
            </w:r>
          </w:p>
        </w:tc>
        <w:tc>
          <w:tcPr>
            <w:tcW w:type="dxa" w:w="8400"/>
            <w:shd w:fill="1F3864" w:val="clear"/>
            <w:tcMar>
              <w:top w:type="dxa" w:w="80"/>
              <w:left w:type="dxa" w:w="100"/>
              <w:bottom w:type="dxa" w:w="80"/>
              <w:right w:type="dxa" w:w="100"/>
            </w:tcMar>
            <w:vAlign w:val="center"/>
          </w:tcPr>
          <w:p>
            <w:pPr>
              <w:jc w:val="left"/>
            </w:pPr>
            <w:r>
              <w:rPr>
                <w:b/>
                <w:bCs/>
                <w:color w:val="FFFFFF"/>
                <w:sz w:val="20"/>
                <w:szCs w:val="20"/>
              </w:rPr>
              <w:t xml:space="preserve">Fungsi</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users</w:t>
            </w:r>
          </w:p>
        </w:tc>
        <w:tc>
          <w:tcPr>
            <w:tcW w:type="dxa" w:w="8400"/>
            <w:tcMar>
              <w:top w:type="dxa" w:w="80"/>
              <w:left w:type="dxa" w:w="100"/>
              <w:bottom w:type="dxa" w:w="80"/>
              <w:right w:type="dxa" w:w="100"/>
            </w:tcMar>
            <w:vAlign w:val="center"/>
          </w:tcPr>
          <w:p>
            <w:pPr>
              <w:jc w:val="left"/>
            </w:pPr>
            <w:r>
              <w:rPr>
                <w:b w:val="false"/>
                <w:bCs w:val="false"/>
                <w:sz w:val="20"/>
                <w:szCs w:val="20"/>
              </w:rPr>
              <w:t xml:space="preserve">Akun UMKM Mandiri dan/atau akun Konsultan Pajak (role: UMKM_MANDIRI / KONSULTAN_B2B)</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clients</w:t>
            </w:r>
          </w:p>
        </w:tc>
        <w:tc>
          <w:tcPr>
            <w:tcW w:type="dxa" w:w="8400"/>
            <w:shd w:fill="F2F6FA" w:val="clear"/>
            <w:tcMar>
              <w:top w:type="dxa" w:w="80"/>
              <w:left w:type="dxa" w:w="100"/>
              <w:bottom w:type="dxa" w:w="80"/>
              <w:right w:type="dxa" w:w="100"/>
            </w:tcMar>
            <w:vAlign w:val="center"/>
          </w:tcPr>
          <w:p>
            <w:pPr>
              <w:jc w:val="left"/>
            </w:pPr>
            <w:r>
              <w:rPr>
                <w:b w:val="false"/>
                <w:bCs w:val="false"/>
                <w:sz w:val="20"/>
                <w:szCs w:val="20"/>
              </w:rPr>
              <w:t xml:space="preserve">Data usaha UMKM, terhubung ke user_id (pemilik) dan opsional consultant_id (Mode Full Managed). Sejak v1.2 menyimpan business_type dan status graduasi PKP sesuai PP 20/2026</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client_access_grants</w:t>
            </w:r>
          </w:p>
        </w:tc>
        <w:tc>
          <w:tcPr>
            <w:tcW w:type="dxa" w:w="8400"/>
            <w:tcMar>
              <w:top w:type="dxa" w:w="80"/>
              <w:left w:type="dxa" w:w="100"/>
              <w:bottom w:type="dxa" w:w="80"/>
              <w:right w:type="dxa" w:w="100"/>
            </w:tcMar>
            <w:vAlign w:val="center"/>
          </w:tcPr>
          <w:p>
            <w:pPr>
              <w:jc w:val="left"/>
            </w:pPr>
            <w:r>
              <w:rPr>
                <w:b w:val="false"/>
                <w:bCs w:val="false"/>
                <w:sz w:val="20"/>
                <w:szCs w:val="20"/>
              </w:rPr>
              <w:t xml:space="preserve">Izin akses konsultasi sementara (Mode Advisory/Guest Access) dengan status &amp; masa berlaku</w:t>
            </w:r>
          </w:p>
        </w:tc>
      </w:tr>
      <w:tr>
        <w:tc>
          <w:tcPr>
            <w:tcW w:type="dxa" w:w="2800"/>
            <w:shd w:fill="F2F6FA" w:val="clear"/>
            <w:tcMar>
              <w:top w:type="dxa" w:w="80"/>
              <w:left w:type="dxa" w:w="100"/>
              <w:bottom w:type="dxa" w:w="80"/>
              <w:right w:type="dxa" w:w="100"/>
            </w:tcMar>
            <w:vAlign w:val="center"/>
          </w:tcPr>
          <w:p>
            <w:pPr>
              <w:jc w:val="left"/>
            </w:pPr>
            <w:r>
              <w:rPr>
                <w:b w:val="false"/>
                <w:bCs w:val="false"/>
                <w:sz w:val="20"/>
                <w:szCs w:val="20"/>
              </w:rPr>
              <w:t xml:space="preserve">transactions</w:t>
            </w:r>
          </w:p>
        </w:tc>
        <w:tc>
          <w:tcPr>
            <w:tcW w:type="dxa" w:w="8400"/>
            <w:shd w:fill="F2F6FA" w:val="clear"/>
            <w:tcMar>
              <w:top w:type="dxa" w:w="80"/>
              <w:left w:type="dxa" w:w="100"/>
              <w:bottom w:type="dxa" w:w="80"/>
              <w:right w:type="dxa" w:w="100"/>
            </w:tcMar>
            <w:vAlign w:val="center"/>
          </w:tcPr>
          <w:p>
            <w:pPr>
              <w:jc w:val="left"/>
            </w:pPr>
            <w:r>
              <w:rPr>
                <w:b w:val="false"/>
                <w:bCs w:val="false"/>
                <w:sz w:val="20"/>
                <w:szCs w:val="20"/>
              </w:rPr>
              <w:t xml:space="preserve">Catatan arus kas (OMZET/BEBAN/PRIBADI) per klien, sumber utama kalkulasi pajak</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audit_logs</w:t>
            </w:r>
          </w:p>
        </w:tc>
        <w:tc>
          <w:tcPr>
            <w:tcW w:type="dxa" w:w="8400"/>
            <w:tcMar>
              <w:top w:type="dxa" w:w="80"/>
              <w:left w:type="dxa" w:w="100"/>
              <w:bottom w:type="dxa" w:w="80"/>
              <w:right w:type="dxa" w:w="100"/>
            </w:tcMar>
            <w:vAlign w:val="center"/>
          </w:tcPr>
          <w:p>
            <w:pPr>
              <w:jc w:val="left"/>
            </w:pPr>
            <w:r>
              <w:rPr>
                <w:b w:val="false"/>
                <w:bCs w:val="false"/>
                <w:sz w:val="20"/>
                <w:szCs w:val="20"/>
              </w:rPr>
              <w:t xml:space="preserve">Log immutable (hash chaining) untuk seluruh aktivitas finansial — append-only</w:t>
            </w:r>
          </w:p>
        </w:tc>
      </w:tr>
    </w:tbl>
    <w:p>
      <w:pPr>
        <w:pStyle w:val="Heading2"/>
        <w:spacing w:after="120" w:before="260"/>
      </w:pPr>
      <w:r>
        <w:t xml:space="preserve">8.2 DDL Lengkap</w:t>
      </w:r>
    </w:p>
    <w:p>
      <w:pPr>
        <w:spacing w:after="160" w:line="276"/>
      </w:pPr>
      <w:r>
        <w:rPr>
          <w:i/>
          <w:iCs/>
          <w:color w:val="595959"/>
          <w:sz w:val="20"/>
          <w:szCs w:val="20"/>
        </w:rPr>
        <w:t xml:space="preserve">Domain Ownership: Backend &amp; Frontend (Database Setup bersama pada Phase 0).</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-- 1. Ekstensi UUID</w:t>
      </w:r>
      <w:r>
        <w:rPr>
          <w:rFonts w:ascii="Consolas" w:cs="Consolas" w:eastAsia="Consolas" w:hAnsi="Consolas"/>
          <w:sz w:val="17"/>
          <w:szCs w:val="17"/>
        </w:rPr>
        <w:br/>
        <w:t xml:space="preserve">CREATE EXTENSION IF NOT EXISTS "uuid-ossp";</w:t>
      </w:r>
      <w:r>
        <w:rPr>
          <w:rFonts w:ascii="Consolas" w:cs="Consolas" w:eastAsia="Consolas" w:hAnsi="Consolas"/>
          <w:sz w:val="17"/>
          <w:szCs w:val="17"/>
        </w:rPr>
        <w:br/>
        <w:t xml:space="preserve"/>
      </w:r>
      <w:r>
        <w:rPr>
          <w:rFonts w:ascii="Consolas" w:cs="Consolas" w:eastAsia="Consolas" w:hAnsi="Consolas"/>
          <w:sz w:val="17"/>
          <w:szCs w:val="17"/>
        </w:rPr>
        <w:br/>
        <w:t xml:space="preserve">-- 2. Tabel Pengguna / Konsultan</w:t>
      </w:r>
      <w:r>
        <w:rPr>
          <w:rFonts w:ascii="Consolas" w:cs="Consolas" w:eastAsia="Consolas" w:hAnsi="Consolas"/>
          <w:sz w:val="17"/>
          <w:szCs w:val="17"/>
        </w:rPr>
        <w:br/>
        <w:t xml:space="preserve">CREATE TABLE users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full_name VARCHAR(100) NOT NULL,</w:t>
      </w:r>
      <w:r>
        <w:rPr>
          <w:rFonts w:ascii="Consolas" w:cs="Consolas" w:eastAsia="Consolas" w:hAnsi="Consolas"/>
          <w:sz w:val="17"/>
          <w:szCs w:val="17"/>
        </w:rPr>
        <w:br/>
        <w:t xml:space="preserve">    phone_number VARCHAR(20) UNIQUE NOT NULL,</w:t>
      </w:r>
      <w:r>
        <w:rPr>
          <w:rFonts w:ascii="Consolas" w:cs="Consolas" w:eastAsia="Consolas" w:hAnsi="Consolas"/>
          <w:sz w:val="17"/>
          <w:szCs w:val="17"/>
        </w:rPr>
        <w:br/>
        <w:t xml:space="preserve">    role VARCHAR(20) NOT NULL CHECK (role IN ('UMKM_MANDIRI', 'KONSULTAN_B2B')),</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-- 3. Tabel Klien UMKM (Diperbarui untuk PP 20/2026 &amp; Graduation Pipeline)</w:t>
      </w:r>
      <w:r>
        <w:rPr>
          <w:rFonts w:ascii="Consolas" w:cs="Consolas" w:eastAsia="Consolas" w:hAnsi="Consolas"/>
          <w:sz w:val="17"/>
          <w:szCs w:val="17"/>
        </w:rPr>
        <w:br/>
        <w:t xml:space="preserve">CREATE TABLE clients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user_id UUID REFERENCES users(id) ON DELETE CASCADE,</w:t>
      </w:r>
      <w:r>
        <w:rPr>
          <w:rFonts w:ascii="Consolas" w:cs="Consolas" w:eastAsia="Consolas" w:hAnsi="Consolas"/>
          <w:sz w:val="17"/>
          <w:szCs w:val="17"/>
        </w:rPr>
        <w:br/>
        <w:t xml:space="preserve">    consultant_id UUID REFERENCES users(id) ON DELETE SET NULL,</w:t>
      </w:r>
      <w:r>
        <w:rPr>
          <w:rFonts w:ascii="Consolas" w:cs="Consolas" w:eastAsia="Consolas" w:hAnsi="Consolas"/>
          <w:sz w:val="17"/>
          <w:szCs w:val="17"/>
        </w:rPr>
        <w:br/>
        <w:t xml:space="preserve">    business_name VARCHAR(150) NOT NULL,</w:t>
      </w:r>
      <w:r>
        <w:rPr>
          <w:rFonts w:ascii="Consolas" w:cs="Consolas" w:eastAsia="Consolas" w:hAnsi="Consolas"/>
          <w:sz w:val="17"/>
          <w:szCs w:val="17"/>
        </w:rPr>
        <w:br/>
        <w:t xml:space="preserve"/>
      </w:r>
      <w:r>
        <w:rPr>
          <w:rFonts w:ascii="Consolas" w:cs="Consolas" w:eastAsia="Consolas" w:hAnsi="Consolas"/>
          <w:sz w:val="17"/>
          <w:szCs w:val="17"/>
        </w:rPr>
        <w:br/>
        <w:t xml:space="preserve">    -- Kolom baru untuk memvalidasi eligibilitas PP 20/2026</w:t>
      </w:r>
      <w:r>
        <w:rPr>
          <w:rFonts w:ascii="Consolas" w:cs="Consolas" w:eastAsia="Consolas" w:hAnsi="Consolas"/>
          <w:sz w:val="17"/>
          <w:szCs w:val="17"/>
        </w:rPr>
        <w:br/>
        <w:t xml:space="preserve">    business_type VARCHAR(30) NOT NULL CHECK (</w:t>
      </w:r>
      <w:r>
        <w:rPr>
          <w:rFonts w:ascii="Consolas" w:cs="Consolas" w:eastAsia="Consolas" w:hAnsi="Consolas"/>
          <w:sz w:val="17"/>
          <w:szCs w:val="17"/>
        </w:rPr>
        <w:br/>
        <w:t xml:space="preserve">        business_type IN ('ORANG_PRIBADI', 'PT_PERORANGAN', 'BADAN_NON_ELIGIBLE')</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tax_id_number VARCHAR(30), -- NPWP / NIK</w:t>
      </w:r>
      <w:r>
        <w:rPr>
          <w:rFonts w:ascii="Consolas" w:cs="Consolas" w:eastAsia="Consolas" w:hAnsi="Consolas"/>
          <w:sz w:val="17"/>
          <w:szCs w:val="17"/>
        </w:rPr>
        <w:br/>
        <w:t xml:space="preserve">    accumulated_gross NUMERIC(15, 2) DEFAULT 0.00,</w:t>
      </w:r>
      <w:r>
        <w:rPr>
          <w:rFonts w:ascii="Consolas" w:cs="Consolas" w:eastAsia="Consolas" w:hAnsi="Consolas"/>
          <w:sz w:val="17"/>
          <w:szCs w:val="17"/>
        </w:rPr>
        <w:br/>
        <w:t xml:space="preserve">    is_tax_liable BOOLEAN DEFAULT FALSE,</w:t>
      </w:r>
      <w:r>
        <w:rPr>
          <w:rFonts w:ascii="Consolas" w:cs="Consolas" w:eastAsia="Consolas" w:hAnsi="Consolas"/>
          <w:sz w:val="17"/>
          <w:szCs w:val="17"/>
        </w:rPr>
        <w:br/>
        <w:t xml:space="preserve"/>
      </w:r>
      <w:r>
        <w:rPr>
          <w:rFonts w:ascii="Consolas" w:cs="Consolas" w:eastAsia="Consolas" w:hAnsi="Consolas"/>
          <w:sz w:val="17"/>
          <w:szCs w:val="17"/>
        </w:rPr>
        <w:br/>
        <w:t xml:space="preserve">    -- Kolom baru untuk melacak ambang batas &gt; Rp4,8 Miliar (PKP)</w:t>
      </w:r>
      <w:r>
        <w:rPr>
          <w:rFonts w:ascii="Consolas" w:cs="Consolas" w:eastAsia="Consolas" w:hAnsi="Consolas"/>
          <w:sz w:val="17"/>
          <w:szCs w:val="17"/>
        </w:rPr>
        <w:br/>
        <w:t xml:space="preserve">    is_pkp_graduated BOOLEAN DEFAULT FALSE,</w:t>
      </w:r>
      <w:r>
        <w:rPr>
          <w:rFonts w:ascii="Consolas" w:cs="Consolas" w:eastAsia="Consolas" w:hAnsi="Consolas"/>
          <w:sz w:val="17"/>
          <w:szCs w:val="17"/>
        </w:rPr>
        <w:br/>
        <w:t xml:space="preserve">    graduated_at TIMESTAMP WITH TIME ZONE NULL,</w:t>
      </w:r>
      <w:r>
        <w:rPr>
          <w:rFonts w:ascii="Consolas" w:cs="Consolas" w:eastAsia="Consolas" w:hAnsi="Consolas"/>
          <w:sz w:val="17"/>
          <w:szCs w:val="17"/>
        </w:rPr>
        <w:br/>
        <w:t xml:space="preserve"/>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-- 4. Tabel Izin Akses Konsultasi Sementara (Advisory / Guest Mode)</w:t>
      </w:r>
      <w:r>
        <w:rPr>
          <w:rFonts w:ascii="Consolas" w:cs="Consolas" w:eastAsia="Consolas" w:hAnsi="Consolas"/>
          <w:sz w:val="17"/>
          <w:szCs w:val="17"/>
        </w:rPr>
        <w:br/>
        <w:t xml:space="preserve">CREATE TABLE client_access_grants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CASCADE,</w:t>
      </w:r>
      <w:r>
        <w:rPr>
          <w:rFonts w:ascii="Consolas" w:cs="Consolas" w:eastAsia="Consolas" w:hAnsi="Consolas"/>
          <w:sz w:val="17"/>
          <w:szCs w:val="17"/>
        </w:rPr>
        <w:br/>
        <w:t xml:space="preserve">    consultant_id UUID REFERENCES users(id) ON DELETE CASCADE,</w:t>
      </w:r>
      <w:r>
        <w:rPr>
          <w:rFonts w:ascii="Consolas" w:cs="Consolas" w:eastAsia="Consolas" w:hAnsi="Consolas"/>
          <w:sz w:val="17"/>
          <w:szCs w:val="17"/>
        </w:rPr>
        <w:br/>
        <w:t xml:space="preserve">    status VARCHAR(20) NOT NULL CHECK (status IN ('ACTIVE', 'REVOKED', 'EXPIRED')),</w:t>
      </w:r>
      <w:r>
        <w:rPr>
          <w:rFonts w:ascii="Consolas" w:cs="Consolas" w:eastAsia="Consolas" w:hAnsi="Consolas"/>
          <w:sz w:val="17"/>
          <w:szCs w:val="17"/>
        </w:rPr>
        <w:br/>
        <w:t xml:space="preserve">    granted_at TIMESTAMP WITH TIME ZONE DEFAULT CURRENT_TIMESTAMP,</w:t>
      </w:r>
      <w:r>
        <w:rPr>
          <w:rFonts w:ascii="Consolas" w:cs="Consolas" w:eastAsia="Consolas" w:hAnsi="Consolas"/>
          <w:sz w:val="17"/>
          <w:szCs w:val="17"/>
        </w:rPr>
        <w:br/>
        <w:t xml:space="preserve">    expires_at TIMESTAMP WITH TIME ZONE NOT NULL</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-- 5. Tabel Transaksi Finansial</w:t>
      </w:r>
      <w:r>
        <w:rPr>
          <w:rFonts w:ascii="Consolas" w:cs="Consolas" w:eastAsia="Consolas" w:hAnsi="Consolas"/>
          <w:sz w:val="17"/>
          <w:szCs w:val="17"/>
        </w:rPr>
        <w:br/>
        <w:t xml:space="preserve">CREATE TABLE transactions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CASCADE,</w:t>
      </w:r>
      <w:r>
        <w:rPr>
          <w:rFonts w:ascii="Consolas" w:cs="Consolas" w:eastAsia="Consolas" w:hAnsi="Consolas"/>
          <w:sz w:val="17"/>
          <w:szCs w:val="17"/>
        </w:rPr>
        <w:br/>
        <w:t xml:space="preserve">    type VARCHAR(20) NOT NULL CHECK (type IN ('OMZET', 'BEBAN', 'PRIBADI')),</w:t>
      </w:r>
      <w:r>
        <w:rPr>
          <w:rFonts w:ascii="Consolas" w:cs="Consolas" w:eastAsia="Consolas" w:hAnsi="Consolas"/>
          <w:sz w:val="17"/>
          <w:szCs w:val="17"/>
        </w:rPr>
        <w:br/>
        <w:t xml:space="preserve">    amount NUMERIC(15, 2) NOT NULL CHECK (amount &gt; 0),</w:t>
      </w:r>
      <w:r>
        <w:rPr>
          <w:rFonts w:ascii="Consolas" w:cs="Consolas" w:eastAsia="Consolas" w:hAnsi="Consolas"/>
          <w:sz w:val="17"/>
          <w:szCs w:val="17"/>
        </w:rPr>
        <w:br/>
        <w:t xml:space="preserve">    transaction_date DATE NOT NULL,</w:t>
      </w:r>
      <w:r>
        <w:rPr>
          <w:rFonts w:ascii="Consolas" w:cs="Consolas" w:eastAsia="Consolas" w:hAnsi="Consolas"/>
          <w:sz w:val="17"/>
          <w:szCs w:val="17"/>
        </w:rPr>
        <w:br/>
        <w:t xml:space="preserve">    description TEXT,</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-- 6. Tabel Immutable Audit Logs (Hash Chaining)</w:t>
      </w:r>
      <w:r>
        <w:rPr>
          <w:rFonts w:ascii="Consolas" w:cs="Consolas" w:eastAsia="Consolas" w:hAnsi="Consolas"/>
          <w:sz w:val="17"/>
          <w:szCs w:val="17"/>
        </w:rPr>
        <w:br/>
        <w:t xml:space="preserve">CREATE TABLE audit_logs (</w:t>
      </w:r>
      <w:r>
        <w:rPr>
          <w:rFonts w:ascii="Consolas" w:cs="Consolas" w:eastAsia="Consolas" w:hAnsi="Consolas"/>
          <w:sz w:val="17"/>
          <w:szCs w:val="17"/>
        </w:rPr>
        <w:br/>
        <w:t xml:space="preserve">    id UUID PRIMARY KEY DEFAULT uuid_generate_v4(),</w:t>
      </w:r>
      <w:r>
        <w:rPr>
          <w:rFonts w:ascii="Consolas" w:cs="Consolas" w:eastAsia="Consolas" w:hAnsi="Consolas"/>
          <w:sz w:val="17"/>
          <w:szCs w:val="17"/>
        </w:rPr>
        <w:br/>
        <w:t xml:space="preserve">    client_id UUID REFERENCES clients(id) ON DELETE RESTRICT,</w:t>
      </w:r>
      <w:r>
        <w:rPr>
          <w:rFonts w:ascii="Consolas" w:cs="Consolas" w:eastAsia="Consolas" w:hAnsi="Consolas"/>
          <w:sz w:val="17"/>
          <w:szCs w:val="17"/>
        </w:rPr>
        <w:br/>
        <w:t xml:space="preserve">    action_type VARCHAR(50) NOT NULL,</w:t>
      </w:r>
      <w:r>
        <w:rPr>
          <w:rFonts w:ascii="Consolas" w:cs="Consolas" w:eastAsia="Consolas" w:hAnsi="Consolas"/>
          <w:sz w:val="17"/>
          <w:szCs w:val="17"/>
        </w:rPr>
        <w:br/>
        <w:t xml:space="preserve">    amount NUMERIC(15, 2) NOT NULL,</w:t>
      </w:r>
      <w:r>
        <w:rPr>
          <w:rFonts w:ascii="Consolas" w:cs="Consolas" w:eastAsia="Consolas" w:hAnsi="Consolas"/>
          <w:sz w:val="17"/>
          <w:szCs w:val="17"/>
        </w:rPr>
        <w:br/>
        <w:t xml:space="preserve">    previous_hash VARCHAR(64) NOT NULL,</w:t>
      </w:r>
      <w:r>
        <w:rPr>
          <w:rFonts w:ascii="Consolas" w:cs="Consolas" w:eastAsia="Consolas" w:hAnsi="Consolas"/>
          <w:sz w:val="17"/>
          <w:szCs w:val="17"/>
        </w:rPr>
        <w:br/>
        <w:t xml:space="preserve">    current_hash VARCHAR(64) UNIQUE NOT NULL,</w:t>
      </w:r>
      <w:r>
        <w:rPr>
          <w:rFonts w:ascii="Consolas" w:cs="Consolas" w:eastAsia="Consolas" w:hAnsi="Consolas"/>
          <w:sz w:val="17"/>
          <w:szCs w:val="17"/>
        </w:rPr>
        <w:br/>
        <w:t xml:space="preserve">    created_at TIMESTAMP WITH TIME ZONE DEFAULT CURRENT_TIMESTAMP</w:t>
      </w:r>
      <w:r>
        <w:rPr>
          <w:rFonts w:ascii="Consolas" w:cs="Consolas" w:eastAsia="Consolas" w:hAnsi="Consolas"/>
          <w:sz w:val="17"/>
          <w:szCs w:val="17"/>
        </w:rPr>
        <w:br/>
        <w:t xml:space="preserve">);</w:t>
      </w:r>
    </w:p>
    <w:p>
      <w:pPr>
        <w:pStyle w:val="Heading2"/>
        <w:spacing w:after="120" w:before="260"/>
      </w:pPr>
      <w:r>
        <w:t xml:space="preserve">8.3 Row-Level Security (RLS) Policies</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7"/>
          <w:szCs w:val="17"/>
        </w:rPr>
        <w:t xml:space="preserve">ALTER TABLE clients ENABLE ROW LEVEL SECURITY;</w:t>
      </w:r>
      <w:r>
        <w:rPr>
          <w:rFonts w:ascii="Consolas" w:cs="Consolas" w:eastAsia="Consolas" w:hAnsi="Consolas"/>
          <w:sz w:val="17"/>
          <w:szCs w:val="17"/>
        </w:rPr>
        <w:br/>
        <w:t xml:space="preserve">ALTER TABLE transactions ENABLE ROW LEVEL SECURITY;</w:t>
      </w:r>
      <w:r>
        <w:rPr>
          <w:rFonts w:ascii="Consolas" w:cs="Consolas" w:eastAsia="Consolas" w:hAnsi="Consolas"/>
          <w:sz w:val="17"/>
          <w:szCs w:val="17"/>
        </w:rPr>
        <w:br/>
        <w:t xml:space="preserve">ALTER TABLE client_access_grants ENABLE ROW LEVEL SECURITY;</w:t>
      </w:r>
      <w:r>
        <w:rPr>
          <w:rFonts w:ascii="Consolas" w:cs="Consolas" w:eastAsia="Consolas" w:hAnsi="Consolas"/>
          <w:sz w:val="17"/>
          <w:szCs w:val="17"/>
        </w:rPr>
        <w:br/>
        <w:t xml:space="preserve"/>
      </w:r>
      <w:r>
        <w:rPr>
          <w:rFonts w:ascii="Consolas" w:cs="Consolas" w:eastAsia="Consolas" w:hAnsi="Consolas"/>
          <w:sz w:val="17"/>
          <w:szCs w:val="17"/>
        </w:rPr>
        <w:br/>
        <w:t xml:space="preserve">-- Policy Tabel Clients: UMKM lihat punya sendiri,</w:t>
      </w:r>
      <w:r>
        <w:rPr>
          <w:rFonts w:ascii="Consolas" w:cs="Consolas" w:eastAsia="Consolas" w:hAnsi="Consolas"/>
          <w:sz w:val="17"/>
          <w:szCs w:val="17"/>
        </w:rPr>
        <w:br/>
        <w:t xml:space="preserve">-- Konsultan lihat binaan tetap &amp; izin aktif</w:t>
      </w:r>
      <w:r>
        <w:rPr>
          <w:rFonts w:ascii="Consolas" w:cs="Consolas" w:eastAsia="Consolas" w:hAnsi="Consolas"/>
          <w:sz w:val="17"/>
          <w:szCs w:val="17"/>
        </w:rPr>
        <w:br/>
        <w:t xml:space="preserve">CREATE POLICY client_isolation_policy ON clients</w:t>
      </w:r>
      <w:r>
        <w:rPr>
          <w:rFonts w:ascii="Consolas" w:cs="Consolas" w:eastAsia="Consolas" w:hAnsi="Consolas"/>
          <w:sz w:val="17"/>
          <w:szCs w:val="17"/>
        </w:rPr>
        <w:br/>
        <w:t xml:space="preserve">    FOR ALL</w:t>
      </w:r>
      <w:r>
        <w:rPr>
          <w:rFonts w:ascii="Consolas" w:cs="Consolas" w:eastAsia="Consolas" w:hAnsi="Consolas"/>
          <w:sz w:val="17"/>
          <w:szCs w:val="17"/>
        </w:rPr>
        <w:br/>
        <w:t xml:space="preserve">    USING (</w:t>
      </w:r>
      <w:r>
        <w:rPr>
          <w:rFonts w:ascii="Consolas" w:cs="Consolas" w:eastAsia="Consolas" w:hAnsi="Consolas"/>
          <w:sz w:val="17"/>
          <w:szCs w:val="17"/>
        </w:rPr>
        <w:br/>
        <w:t xml:space="preserve">        user_id = NULLIF(current_setting('app.current_tenant_id', true), '')::UUID</w:t>
      </w:r>
      <w:r>
        <w:rPr>
          <w:rFonts w:ascii="Consolas" w:cs="Consolas" w:eastAsia="Consolas" w:hAnsi="Consolas"/>
          <w:sz w:val="17"/>
          <w:szCs w:val="17"/>
        </w:rPr>
        <w:br/>
        <w:t xml:space="preserve">        OR consultant_id = NULLIF(current_setting('app.current_tenant_id', true), '')::UUID</w:t>
      </w:r>
      <w:r>
        <w:rPr>
          <w:rFonts w:ascii="Consolas" w:cs="Consolas" w:eastAsia="Consolas" w:hAnsi="Consolas"/>
          <w:sz w:val="17"/>
          <w:szCs w:val="17"/>
        </w:rPr>
        <w:br/>
        <w:t xml:space="preserve">        OR id IN (</w:t>
      </w:r>
      <w:r>
        <w:rPr>
          <w:rFonts w:ascii="Consolas" w:cs="Consolas" w:eastAsia="Consolas" w:hAnsi="Consolas"/>
          <w:sz w:val="17"/>
          <w:szCs w:val="17"/>
        </w:rPr>
        <w:br/>
        <w:t xml:space="preserve">            SELECT client_id FROM client_access_grants</w:t>
      </w:r>
      <w:r>
        <w:rPr>
          <w:rFonts w:ascii="Consolas" w:cs="Consolas" w:eastAsia="Consolas" w:hAnsi="Consolas"/>
          <w:sz w:val="17"/>
          <w:szCs w:val="17"/>
        </w:rPr>
        <w:br/>
        <w:t xml:space="preserve">            WHERE consultant_id = NULLIF(current_setting('app.current_tenant_id', true), '')::UUID</w:t>
      </w:r>
      <w:r>
        <w:rPr>
          <w:rFonts w:ascii="Consolas" w:cs="Consolas" w:eastAsia="Consolas" w:hAnsi="Consolas"/>
          <w:sz w:val="17"/>
          <w:szCs w:val="17"/>
        </w:rPr>
        <w:br/>
        <w:t xml:space="preserve">              AND status = 'ACTIVE' AND expires_at &gt; CURRENT_TIMESTAMP</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Policy Tabel Transactions: mengikuti hak akses dari Tabel Clients</w:t>
      </w:r>
      <w:r>
        <w:rPr>
          <w:rFonts w:ascii="Consolas" w:cs="Consolas" w:eastAsia="Consolas" w:hAnsi="Consolas"/>
          <w:sz w:val="17"/>
          <w:szCs w:val="17"/>
        </w:rPr>
        <w:br/>
        <w:t xml:space="preserve">CREATE POLICY transaction_isolation_policy ON transactions</w:t>
      </w:r>
      <w:r>
        <w:rPr>
          <w:rFonts w:ascii="Consolas" w:cs="Consolas" w:eastAsia="Consolas" w:hAnsi="Consolas"/>
          <w:sz w:val="17"/>
          <w:szCs w:val="17"/>
        </w:rPr>
        <w:br/>
        <w:t xml:space="preserve">    FOR ALL</w:t>
      </w:r>
      <w:r>
        <w:rPr>
          <w:rFonts w:ascii="Consolas" w:cs="Consolas" w:eastAsia="Consolas" w:hAnsi="Consolas"/>
          <w:sz w:val="17"/>
          <w:szCs w:val="17"/>
        </w:rPr>
        <w:br/>
        <w:t xml:space="preserve">    USING (</w:t>
      </w:r>
      <w:r>
        <w:rPr>
          <w:rFonts w:ascii="Consolas" w:cs="Consolas" w:eastAsia="Consolas" w:hAnsi="Consolas"/>
          <w:sz w:val="17"/>
          <w:szCs w:val="17"/>
        </w:rPr>
        <w:br/>
        <w:t xml:space="preserve">        client_id IN (SELECT id FROM clients)</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Mencegah UPDATE dan DELETE pada tabel audit_logs (Append-Only)</w:t>
      </w:r>
      <w:r>
        <w:rPr>
          <w:rFonts w:ascii="Consolas" w:cs="Consolas" w:eastAsia="Consolas" w:hAnsi="Consolas"/>
          <w:sz w:val="17"/>
          <w:szCs w:val="17"/>
        </w:rPr>
        <w:br/>
        <w:t xml:space="preserve">REVOKE UPDATE, DELETE ON audit_logs FROM PUBLIC;</w:t>
      </w:r>
    </w:p>
    <w:p>
      <w:pPr>
        <w:pStyle w:val="Heading1"/>
        <w:spacing w:after="160" w:before="360"/>
      </w:pPr>
      <w:r>
        <w:t xml:space="preserve">9. Standard API Contract Specifications (REST &amp; Webhook)</w:t>
      </w:r>
    </w:p>
    <w:p>
      <w:pPr>
        <w:spacing w:after="160" w:line="276"/>
      </w:pPr>
      <w:r>
        <w:t xml:space="preserve">Kontrak komunikasi antara lapisan Frontend (Next.js) dan Backend (Golang) wajib mematuhi protokol RESTful JSON berikut. Perubahan payload wajib disepakati bersama oleh tim Backend dan Frontend sebelum diimplementasikan.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2600"/>
      </w:tblGrid>
      <w:tr>
        <w:trPr>
          <w:tblHeader/>
        </w:trPr>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Request Payload</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Response Payload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/api/v1/webhooks/waha</w:t>
            </w:r>
          </w:p>
        </w:tc>
        <w:tc>
          <w:tcPr>
            <w:tcW w:type="dxa" w:w="3200"/>
            <w:tcMar>
              <w:top w:type="dxa" w:w="80"/>
              <w:left w:type="dxa" w:w="100"/>
              <w:bottom w:type="dxa" w:w="80"/>
              <w:right w:type="dxa" w:w="100"/>
            </w:tcMar>
            <w:vAlign w:val="center"/>
          </w:tcPr>
          <w:p>
            <w:pPr>
              <w:jc w:val="left"/>
            </w:pPr>
            <w:r>
              <w:rPr>
                <w:b w:val="false"/>
                <w:bCs w:val="false"/>
                <w:sz w:val="20"/>
                <w:szCs w:val="20"/>
              </w:rPr>
              <w:t xml:space="preserve">{"from":"62812xxx@c.us","body":"OMZET 500000 16-07-2026","timestamp":1784218233}</w:t>
            </w:r>
          </w:p>
        </w:tc>
        <w:tc>
          <w:tcPr>
            <w:tcW w:type="dxa" w:w="2600"/>
            <w:tcMar>
              <w:top w:type="dxa" w:w="80"/>
              <w:left w:type="dxa" w:w="100"/>
              <w:bottom w:type="dxa" w:w="80"/>
              <w:right w:type="dxa" w:w="100"/>
            </w:tcMar>
            <w:vAlign w:val="center"/>
          </w:tcPr>
          <w:p>
            <w:pPr>
              <w:jc w:val="left"/>
            </w:pPr>
            <w:r>
              <w:rPr>
                <w:b w:val="false"/>
                <w:bCs w:val="false"/>
                <w:sz w:val="20"/>
                <w:szCs w:val="20"/>
              </w:rPr>
              <w:t xml:space="preserve">{"status":"success","message":"Transaksi berhasil dicatat"}</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GET</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/api/v1/tax/summary?year=2026</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Header: Authorization: Bearer &lt;jwt&gt;</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{"current_gross":350000000.00,"limit":500000000.00,"percentage":70.0,"tax_payable":0.00}</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/api/v1/consultant/invite</w:t>
            </w:r>
          </w:p>
        </w:tc>
        <w:tc>
          <w:tcPr>
            <w:tcW w:type="dxa" w:w="3200"/>
            <w:tcMar>
              <w:top w:type="dxa" w:w="80"/>
              <w:left w:type="dxa" w:w="100"/>
              <w:bottom w:type="dxa" w:w="80"/>
              <w:right w:type="dxa" w:w="100"/>
            </w:tcMar>
            <w:vAlign w:val="center"/>
          </w:tcPr>
          <w:p>
            <w:pPr>
              <w:jc w:val="left"/>
            </w:pPr>
            <w:r>
              <w:rPr>
                <w:b w:val="false"/>
                <w:bCs w:val="false"/>
                <w:sz w:val="20"/>
                <w:szCs w:val="20"/>
              </w:rPr>
              <w:t xml:space="preserve">{"business_name":"Warung Bu Ana","phone_number":"628123456789"}</w:t>
            </w:r>
          </w:p>
        </w:tc>
        <w:tc>
          <w:tcPr>
            <w:tcW w:type="dxa" w:w="2600"/>
            <w:tcMar>
              <w:top w:type="dxa" w:w="80"/>
              <w:left w:type="dxa" w:w="100"/>
              <w:bottom w:type="dxa" w:w="80"/>
              <w:right w:type="dxa" w:w="100"/>
            </w:tcMar>
            <w:vAlign w:val="center"/>
          </w:tcPr>
          <w:p>
            <w:pPr>
              <w:jc w:val="left"/>
            </w:pPr>
            <w:r>
              <w:rPr>
                <w:b w:val="false"/>
                <w:bCs w:val="false"/>
                <w:sz w:val="20"/>
                <w:szCs w:val="20"/>
              </w:rPr>
              <w:t xml:space="preserve">{"invite_id":"uuid","status":"INVITATION_SENT"}</w:t>
            </w:r>
          </w:p>
        </w:tc>
      </w:tr>
      <w:tr>
        <w:tc>
          <w:tcPr>
            <w:tcW w:type="dxa" w:w="1200"/>
            <w:shd w:fill="F2F6FA" w:val="clear"/>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/api/v1/client/access-grant</w:t>
            </w:r>
          </w:p>
        </w:tc>
        <w:tc>
          <w:tcPr>
            <w:tcW w:type="dxa" w:w="3200"/>
            <w:shd w:fill="F2F6FA" w:val="clear"/>
            <w:tcMar>
              <w:top w:type="dxa" w:w="80"/>
              <w:left w:type="dxa" w:w="100"/>
              <w:bottom w:type="dxa" w:w="80"/>
              <w:right w:type="dxa" w:w="100"/>
            </w:tcMar>
            <w:vAlign w:val="center"/>
          </w:tcPr>
          <w:p>
            <w:pPr>
              <w:jc w:val="left"/>
            </w:pPr>
            <w:r>
              <w:rPr>
                <w:b w:val="false"/>
                <w:bCs w:val="false"/>
                <w:sz w:val="20"/>
                <w:szCs w:val="20"/>
              </w:rPr>
              <w:t xml:space="preserve">{"consultant_phone":"6281xxx","duration_days":7}</w:t>
            </w:r>
          </w:p>
        </w:tc>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{"status":"ACTIVE","expires_at":"2026-07-24T10:00:00Z"}</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POST</w:t>
            </w:r>
          </w:p>
        </w:tc>
        <w:tc>
          <w:tcPr>
            <w:tcW w:type="dxa" w:w="3000"/>
            <w:tcMar>
              <w:top w:type="dxa" w:w="80"/>
              <w:left w:type="dxa" w:w="100"/>
              <w:bottom w:type="dxa" w:w="80"/>
              <w:right w:type="dxa" w:w="100"/>
            </w:tcMar>
            <w:vAlign w:val="center"/>
          </w:tcPr>
          <w:p>
            <w:pPr>
              <w:jc w:val="left"/>
            </w:pPr>
            <w:r>
              <w:rPr>
                <w:b w:val="false"/>
                <w:bCs w:val="false"/>
                <w:sz w:val="20"/>
                <w:szCs w:val="20"/>
              </w:rPr>
              <w:t xml:space="preserve">/api/v1/export/batch-spt</w:t>
            </w:r>
          </w:p>
        </w:tc>
        <w:tc>
          <w:tcPr>
            <w:tcW w:type="dxa" w:w="3200"/>
            <w:tcMar>
              <w:top w:type="dxa" w:w="80"/>
              <w:left w:type="dxa" w:w="100"/>
              <w:bottom w:type="dxa" w:w="80"/>
              <w:right w:type="dxa" w:w="100"/>
            </w:tcMar>
            <w:vAlign w:val="center"/>
          </w:tcPr>
          <w:p>
            <w:pPr>
              <w:jc w:val="left"/>
            </w:pPr>
            <w:r>
              <w:rPr>
                <w:b w:val="false"/>
                <w:bCs w:val="false"/>
                <w:sz w:val="20"/>
                <w:szCs w:val="20"/>
              </w:rPr>
              <w:t xml:space="preserve">{"client_ids":["uuid-1","uuid-2"],"period":"07-2026"}</w:t>
            </w:r>
          </w:p>
        </w:tc>
        <w:tc>
          <w:tcPr>
            <w:tcW w:type="dxa" w:w="2600"/>
            <w:tcMar>
              <w:top w:type="dxa" w:w="80"/>
              <w:left w:type="dxa" w:w="100"/>
              <w:bottom w:type="dxa" w:w="80"/>
              <w:right w:type="dxa" w:w="100"/>
            </w:tcMar>
            <w:vAlign w:val="center"/>
          </w:tcPr>
          <w:p>
            <w:pPr>
              <w:jc w:val="left"/>
            </w:pPr>
            <w:r>
              <w:rPr>
                <w:b w:val="false"/>
                <w:bCs w:val="false"/>
                <w:sz w:val="20"/>
                <w:szCs w:val="20"/>
              </w:rPr>
              <w:t xml:space="preserve">{"job_id":"redis-uuid","status":"PROCESSING"}</w:t>
            </w:r>
          </w:p>
        </w:tc>
      </w:tr>
    </w:tbl>
    <w:p>
      <w:pPr>
        <w:pStyle w:val="Heading1"/>
        <w:spacing w:after="160" w:before="360"/>
      </w:pPr>
      <w:r>
        <w:t xml:space="preserve">10. Ringkasan Non-Functional Requirements Tambahan</w:t>
      </w:r>
    </w:p>
    <w:p>
      <w:pPr>
        <w:pStyle w:val="ListParagraph"/>
        <w:numPr>
          <w:ilvl w:val="0"/>
          <w:numId w:val="2"/>
        </w:numPr>
        <w:spacing w:after="80" w:line="276"/>
      </w:pPr>
      <w:r>
        <w:t xml:space="preserve">Latensi API utama tidak boleh melebihi 200 milidetik bahkan saat simulasi lonjakan 1.500 webhook bersamaan.</w:t>
      </w:r>
    </w:p>
    <w:p>
      <w:pPr>
        <w:pStyle w:val="ListParagraph"/>
        <w:numPr>
          <w:ilvl w:val="0"/>
          <w:numId w:val="2"/>
        </w:numPr>
        <w:spacing w:after="80" w:line="276"/>
      </w:pPr>
      <w:r>
        <w:t xml:space="preserve">Beban CPU dan RAM peladen utama dijaga di bawah 60% saat lonjakan trafik akhir bulan melalui pemrosesan asinkron dan rate limiting.</w:t>
      </w:r>
    </w:p>
    <w:p>
      <w:pPr>
        <w:pStyle w:val="ListParagraph"/>
        <w:numPr>
          <w:ilvl w:val="0"/>
          <w:numId w:val="2"/>
        </w:numPr>
        <w:spacing w:after="80" w:line="276"/>
      </w:pPr>
      <w:r>
        <w:t xml:space="preserve">Verifikasi signature wajib pada webhook WAHA (header X-WAHA-Signature) untuk mencegah injeksi data palsu.</w:t>
      </w:r>
    </w:p>
    <w:p>
      <w:pPr>
        <w:pStyle w:val="ListParagraph"/>
        <w:numPr>
          <w:ilvl w:val="0"/>
          <w:numId w:val="2"/>
        </w:numPr>
        <w:spacing w:after="80" w:line="276"/>
      </w:pPr>
      <w:r>
        <w:t xml:space="preserve">Isolasi multi-tenant wajib di level database (RLS), bukan hanya di level aplikasi — termasuk untuk relasi Dual-Access Mode (Full Managed &amp; Advisory).</w:t>
      </w:r>
    </w:p>
    <w:p>
      <w:pPr>
        <w:pStyle w:val="ListParagraph"/>
        <w:numPr>
          <w:ilvl w:val="0"/>
          <w:numId w:val="2"/>
        </w:numPr>
        <w:spacing w:after="80" w:line="276"/>
      </w:pPr>
      <w:r>
        <w:t xml:space="preserve">Dashboard Next.js wajib responsif di desktop maupun mobile, dengan grafik yang ter-update otomatis secara real-time.</w:t>
      </w:r>
    </w:p>
    <w:p>
      <w:pPr>
        <w:pStyle w:val="Heading1"/>
        <w:spacing w:after="160" w:before="360"/>
      </w:pPr>
      <w:r>
        <w:t xml:space="preserve">11. Risiko Teknis &amp; Mitigasi (Rabbit Holes)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Risiko</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Deskripsi</w:t>
            </w:r>
          </w:p>
        </w:tc>
        <w:tc>
          <w:tcPr>
            <w:tcW w:type="dxa" w:w="4400"/>
            <w:shd w:fill="1F3864" w:val="clear"/>
            <w:tcMar>
              <w:top w:type="dxa" w:w="80"/>
              <w:left w:type="dxa" w:w="100"/>
              <w:bottom w:type="dxa" w:w="80"/>
              <w:right w:type="dxa" w:w="100"/>
            </w:tcMar>
            <w:vAlign w:val="center"/>
          </w:tcPr>
          <w:p>
            <w:pPr>
              <w:jc w:val="left"/>
            </w:pPr>
            <w:r>
              <w:rPr>
                <w:b/>
                <w:bCs/>
                <w:color w:val="FFFFFF"/>
                <w:sz w:val="20"/>
                <w:szCs w:val="20"/>
              </w:rPr>
              <w:t xml:space="preserve">Mitigasi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Server down saat lonjakan trafik akhir bulan</w:t>
            </w:r>
          </w:p>
        </w:tc>
        <w:tc>
          <w:tcPr>
            <w:tcW w:type="dxa" w:w="3400"/>
            <w:tcMar>
              <w:top w:type="dxa" w:w="80"/>
              <w:left w:type="dxa" w:w="100"/>
              <w:bottom w:type="dxa" w:w="80"/>
              <w:right w:type="dxa" w:w="100"/>
            </w:tcMar>
            <w:vAlign w:val="center"/>
          </w:tcPr>
          <w:p>
            <w:pPr>
              <w:jc w:val="left"/>
            </w:pPr>
            <w:r>
              <w:rPr>
                <w:b w:val="false"/>
                <w:bCs w:val="false"/>
                <w:sz w:val="20"/>
                <w:szCs w:val="20"/>
              </w:rPr>
              <w:t xml:space="preserve">Ribuan UMKM mengakses laporan bersamaan; sistem memproses blast pengingat massal</w:t>
            </w:r>
          </w:p>
        </w:tc>
        <w:tc>
          <w:tcPr>
            <w:tcW w:type="dxa" w:w="4400"/>
            <w:tcMar>
              <w:top w:type="dxa" w:w="80"/>
              <w:left w:type="dxa" w:w="100"/>
              <w:bottom w:type="dxa" w:w="80"/>
              <w:right w:type="dxa" w:w="100"/>
            </w:tcMar>
            <w:vAlign w:val="center"/>
          </w:tcPr>
          <w:p>
            <w:pPr>
              <w:jc w:val="left"/>
            </w:pPr>
            <w:r>
              <w:rPr>
                <w:b w:val="false"/>
                <w:bCs w:val="false"/>
                <w:sz w:val="20"/>
                <w:szCs w:val="20"/>
              </w:rPr>
              <w:t xml:space="preserve">Arsitektur asinkron via Redis Queue; rendering PDF dan pengiriman pesan dieksekusi background worker dengan rate limiting; beban CPU/RAM dijaga &lt; 60%</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Pemblokiran nomor WhatsApp oleh sistem anti-spam Meta</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Pengiriman reminder massal H-7/H-3/H-1 berisiko memicu algoritma anti-spam</w:t>
            </w:r>
          </w:p>
        </w:tc>
        <w:tc>
          <w:tcPr>
            <w:tcW w:type="dxa" w:w="4400"/>
            <w:shd w:fill="F2F6FA" w:val="clear"/>
            <w:tcMar>
              <w:top w:type="dxa" w:w="80"/>
              <w:left w:type="dxa" w:w="100"/>
              <w:bottom w:type="dxa" w:w="80"/>
              <w:right w:type="dxa" w:w="100"/>
            </w:tcMar>
            <w:vAlign w:val="center"/>
          </w:tcPr>
          <w:p>
            <w:pPr>
              <w:jc w:val="left"/>
            </w:pPr>
            <w:r>
              <w:rPr>
                <w:b w:val="false"/>
                <w:bCs w:val="false"/>
                <w:sz w:val="20"/>
                <w:szCs w:val="20"/>
              </w:rPr>
              <w:t xml:space="preserve">Rate limiting (15–20 pesan/menit/nomor), jitter delay (3–12 detik), dynamic text rotator; migrasi ke Meta Official Cloud API pada bulan ke-7 untuk hak kirim proaktif resmi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Kesalahan ketik (typo) input angka dari pengguna</w:t>
            </w:r>
          </w:p>
        </w:tc>
        <w:tc>
          <w:tcPr>
            <w:tcW w:type="dxa" w:w="3400"/>
            <w:tcMar>
              <w:top w:type="dxa" w:w="80"/>
              <w:left w:type="dxa" w:w="100"/>
              <w:bottom w:type="dxa" w:w="80"/>
              <w:right w:type="dxa" w:w="100"/>
            </w:tcMar>
            <w:vAlign w:val="center"/>
          </w:tcPr>
          <w:p>
            <w:pPr>
              <w:jc w:val="left"/>
            </w:pPr>
            <w:r>
              <w:rPr>
                <w:b w:val="false"/>
                <w:bCs w:val="false"/>
                <w:sz w:val="20"/>
                <w:szCs w:val="20"/>
              </w:rPr>
              <w:t xml:space="preserve">Pengguna salah ketik nominal, merusak akurasi draf pajak</w:t>
            </w:r>
          </w:p>
        </w:tc>
        <w:tc>
          <w:tcPr>
            <w:tcW w:type="dxa" w:w="4400"/>
            <w:tcMar>
              <w:top w:type="dxa" w:w="80"/>
              <w:left w:type="dxa" w:w="100"/>
              <w:bottom w:type="dxa" w:w="80"/>
              <w:right w:type="dxa" w:w="100"/>
            </w:tcMar>
            <w:vAlign w:val="center"/>
          </w:tcPr>
          <w:p>
            <w:pPr>
              <w:jc w:val="left"/>
            </w:pPr>
            <w:r>
              <w:rPr>
                <w:b w:val="false"/>
                <w:bCs w:val="false"/>
                <w:sz w:val="20"/>
                <w:szCs w:val="20"/>
              </w:rPr>
              <w:t xml:space="preserve">Fitur konfirmasi interaktif mikro sebelum data di-commit permanen ke database</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Penyalahgunaan akses Advisory oleh konsultan eksternal</w:t>
            </w:r>
          </w:p>
        </w:tc>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Konsultan tamu berpotensi mempertahankan akses read-only melebihi kebutuhan</w:t>
            </w:r>
          </w:p>
        </w:tc>
        <w:tc>
          <w:tcPr>
            <w:tcW w:type="dxa" w:w="4400"/>
            <w:shd w:fill="F2F6FA" w:val="clear"/>
            <w:tcMar>
              <w:top w:type="dxa" w:w="80"/>
              <w:left w:type="dxa" w:w="100"/>
              <w:bottom w:type="dxa" w:w="80"/>
              <w:right w:type="dxa" w:w="100"/>
            </w:tcMar>
            <w:vAlign w:val="center"/>
          </w:tcPr>
          <w:p>
            <w:pPr>
              <w:jc w:val="left"/>
            </w:pPr>
            <w:r>
              <w:rPr>
                <w:b w:val="false"/>
                <w:bCs w:val="false"/>
                <w:sz w:val="20"/>
                <w:szCs w:val="20"/>
              </w:rPr>
              <w:t xml:space="preserve">Expiry otomatis (expires_at) di level RLS, tombol CABUT AKSES sepihak oleh UMKM, dan status terpantau (ACTIVE/REVOKED/EXPIRED) di client_access_grants</w:t>
            </w:r>
          </w:p>
        </w:tc>
      </w:tr>
    </w:tbl>
    <w:p>
      <w:pPr>
        <w:pStyle w:val="Heading1"/>
        <w:spacing w:after="160" w:before="360"/>
      </w:pPr>
      <w:r>
        <w:t xml:space="preserve">12. Rencana Eksekusi &amp; Milestone</w:t>
      </w:r>
    </w:p>
    <w:p>
      <w:pPr>
        <w:pStyle w:val="Heading2"/>
        <w:spacing w:after="120" w:before="260"/>
      </w:pPr>
      <w:r>
        <w:t xml:space="preserve">12.1 Phase 0 — Fondasi &amp; Sinkronisasi Awal (Hari 1–3)</w:t>
      </w:r>
    </w:p>
    <w:p>
      <w:pPr>
        <w:pStyle w:val="ListParagraph"/>
        <w:numPr>
          <w:ilvl w:val="0"/>
          <w:numId w:val="2"/>
        </w:numPr>
        <w:spacing w:after="80" w:line="276"/>
      </w:pPr>
      <w:r>
        <w:t xml:space="preserve">Desain skema database &amp; kebijakan RLS untuk seluruh tabel (lihat bagian 8).</w:t>
      </w:r>
    </w:p>
    <w:p>
      <w:pPr>
        <w:pStyle w:val="ListParagraph"/>
        <w:numPr>
          <w:ilvl w:val="0"/>
          <w:numId w:val="2"/>
        </w:numPr>
        <w:spacing w:after="80" w:line="276"/>
      </w:pPr>
      <w:r>
        <w:t xml:space="preserve">Setup infrastruktur lokal via Docker Compose: Golang, Next.js, PostgreSQL, Redis, WAHA (engine Baileys) agar lingkungan dev identik antar-developer.</w:t>
      </w:r>
    </w:p>
    <w:p>
      <w:pPr>
        <w:pStyle w:val="Heading2"/>
        <w:spacing w:after="120" w:before="260"/>
      </w:pPr>
      <w:r>
        <w:t xml:space="preserve">12.2 Milestone Bulan 1–6 (MVP Beta)</w:t>
      </w:r>
    </w:p>
    <w:p>
      <w:pPr>
        <w:pStyle w:val="ListParagraph"/>
        <w:numPr>
          <w:ilvl w:val="0"/>
          <w:numId w:val="2"/>
        </w:numPr>
        <w:spacing w:after="80" w:line="276"/>
      </w:pPr>
      <w:r>
        <w:t xml:space="preserve">Domain Backend: Modul 1 (WAHA Gateway), Modul 2 (Tax Engine), Modul 5 (Audit Trail &amp; Anti-Spam Broadcast).</w:t>
      </w:r>
    </w:p>
    <w:p>
      <w:pPr>
        <w:pStyle w:val="ListParagraph"/>
        <w:numPr>
          <w:ilvl w:val="0"/>
          <w:numId w:val="2"/>
        </w:numPr>
        <w:spacing w:after="80" w:line="276"/>
      </w:pPr>
      <w:r>
        <w:t xml:space="preserve">Domain Frontend: Modul 3 (Portal UMKM Mandiri), Modul 4 (Portal B2B Konsultan Pajak), termasuk UI Dual-Access Mode.</w:t>
      </w:r>
    </w:p>
    <w:p>
      <w:pPr>
        <w:pStyle w:val="ListParagraph"/>
        <w:numPr>
          <w:ilvl w:val="0"/>
          <w:numId w:val="2"/>
        </w:numPr>
        <w:spacing w:after="80" w:line="276"/>
      </w:pPr>
      <w:r>
        <w:t xml:space="preserve">Target keluaran: 500 UMKM aktif, 10 mitra konsultan, efisiensi pelaporan &lt; 5 menit, akurasi pajak 100%, stabilitas server 99,9%.</w:t>
      </w:r>
    </w:p>
    <w:p>
      <w:pPr>
        <w:pStyle w:val="Heading2"/>
        <w:spacing w:after="120" w:before="260"/>
      </w:pPr>
      <w:r>
        <w:t xml:space="preserve">12.3 Milestone Bulan 7–12 (Commercial Scaling)</w:t>
      </w:r>
    </w:p>
    <w:p>
      <w:pPr>
        <w:pStyle w:val="ListParagraph"/>
        <w:numPr>
          <w:ilvl w:val="0"/>
          <w:numId w:val="2"/>
        </w:numPr>
        <w:spacing w:after="80" w:line="276"/>
      </w:pPr>
      <w:r>
        <w:t xml:space="preserve">Migrasi WAHA dari mesin Baileys ke Meta Cloud API (perubahan environment variable, zero refactoring kode).</w:t>
      </w:r>
    </w:p>
    <w:p>
      <w:pPr>
        <w:pStyle w:val="ListParagraph"/>
        <w:numPr>
          <w:ilvl w:val="0"/>
          <w:numId w:val="2"/>
        </w:numPr>
        <w:spacing w:after="80" w:line="276"/>
      </w:pPr>
      <w:r>
        <w:t xml:space="preserve">Target keluaran: 1.500 UMKM aktif, 50 mitra konsultan sesuai target Appetite Tahun ke-1.</w:t>
      </w:r>
    </w:p>
    <w:p>
      <w:pPr>
        <w:pStyle w:val="Heading1"/>
        <w:spacing w:after="160" w:before="360"/>
      </w:pPr>
      <w:r>
        <w:t xml:space="preserve">13. Struktur Monetisasi (Referensi Bisnis)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Paket</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Harga</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Catatan</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Eceran / Mandiri (Starter)</w:t>
            </w:r>
          </w:p>
        </w:tc>
        <w:tc>
          <w:tcPr>
            <w:tcW w:type="dxa" w:w="3000"/>
            <w:tcMar>
              <w:top w:type="dxa" w:w="80"/>
              <w:left w:type="dxa" w:w="100"/>
              <w:bottom w:type="dxa" w:w="80"/>
              <w:right w:type="dxa" w:w="100"/>
            </w:tcMar>
            <w:vAlign w:val="center"/>
          </w:tcPr>
          <w:p>
            <w:pPr>
              <w:jc w:val="left"/>
            </w:pPr>
            <w:r>
              <w:rPr>
                <w:b w:val="false"/>
                <w:bCs w:val="false"/>
                <w:sz w:val="20"/>
                <w:szCs w:val="20"/>
              </w:rPr>
              <w:t xml:space="preserve">Rp79.000 / bulan / akun</w:t>
            </w:r>
          </w:p>
        </w:tc>
        <w:tc>
          <w:tcPr>
            <w:tcW w:type="dxa" w:w="3600"/>
            <w:tcMar>
              <w:top w:type="dxa" w:w="80"/>
              <w:left w:type="dxa" w:w="100"/>
              <w:bottom w:type="dxa" w:w="80"/>
              <w:right w:type="dxa" w:w="100"/>
            </w:tcMar>
            <w:vAlign w:val="center"/>
          </w:tcPr>
          <w:p>
            <w:pPr>
              <w:jc w:val="left"/>
            </w:pPr>
            <w:r>
              <w:rPr>
                <w:b w:val="false"/>
                <w:bCs w:val="false"/>
                <w:sz w:val="20"/>
                <w:szCs w:val="20"/>
              </w:rPr>
              <w:t xml:space="preserve">UMKM mendaftar langsung tanpa konsultan, termasuk mode Advisory (mengundang konsultan tamu)</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20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Rp60.000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Rp1.200.000/bulan ke Pajakin.id</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Grosir B2B — 50 Klien</w:t>
            </w:r>
          </w:p>
        </w:tc>
        <w:tc>
          <w:tcPr>
            <w:tcW w:type="dxa" w:w="3000"/>
            <w:tcMar>
              <w:top w:type="dxa" w:w="80"/>
              <w:left w:type="dxa" w:w="100"/>
              <w:bottom w:type="dxa" w:w="80"/>
              <w:right w:type="dxa" w:w="100"/>
            </w:tcMar>
            <w:vAlign w:val="center"/>
          </w:tcPr>
          <w:p>
            <w:pPr>
              <w:jc w:val="left"/>
            </w:pPr>
            <w:r>
              <w:rPr>
                <w:b w:val="false"/>
                <w:bCs w:val="false"/>
                <w:sz w:val="20"/>
                <w:szCs w:val="20"/>
              </w:rPr>
              <w:t xml:space="preserve">Rp50.000 / akun / bulan</w:t>
            </w:r>
          </w:p>
        </w:tc>
        <w:tc>
          <w:tcPr>
            <w:tcW w:type="dxa" w:w="3600"/>
            <w:tcMar>
              <w:top w:type="dxa" w:w="80"/>
              <w:left w:type="dxa" w:w="100"/>
              <w:bottom w:type="dxa" w:w="80"/>
              <w:right w:type="dxa" w:w="100"/>
            </w:tcMar>
            <w:vAlign w:val="center"/>
          </w:tcPr>
          <w:p>
            <w:pPr>
              <w:jc w:val="left"/>
            </w:pPr>
            <w:r>
              <w:rPr>
                <w:b w:val="false"/>
                <w:bCs w:val="false"/>
                <w:sz w:val="20"/>
                <w:szCs w:val="20"/>
              </w:rPr>
              <w:t xml:space="preserve">Lump-sum Rp2.500.000/bulan ke Pajakin.id</w:t>
            </w:r>
          </w:p>
        </w:tc>
      </w:tr>
      <w:tr>
        <w:tc>
          <w:tcPr>
            <w:tcW w:type="dxa" w:w="3400"/>
            <w:shd w:fill="F2F6FA" w:val="clear"/>
            <w:tcMar>
              <w:top w:type="dxa" w:w="80"/>
              <w:left w:type="dxa" w:w="100"/>
              <w:bottom w:type="dxa" w:w="80"/>
              <w:right w:type="dxa" w:w="100"/>
            </w:tcMar>
            <w:vAlign w:val="center"/>
          </w:tcPr>
          <w:p>
            <w:pPr>
              <w:jc w:val="left"/>
            </w:pPr>
            <w:r>
              <w:rPr>
                <w:b w:val="false"/>
                <w:bCs w:val="false"/>
                <w:sz w:val="20"/>
                <w:szCs w:val="20"/>
              </w:rPr>
              <w:t xml:space="preserve">Grosir B2B — 100 Klien</w:t>
            </w:r>
          </w:p>
        </w:tc>
        <w:tc>
          <w:tcPr>
            <w:tcW w:type="dxa" w:w="3000"/>
            <w:shd w:fill="F2F6FA" w:val="clear"/>
            <w:tcMar>
              <w:top w:type="dxa" w:w="80"/>
              <w:left w:type="dxa" w:w="100"/>
              <w:bottom w:type="dxa" w:w="80"/>
              <w:right w:type="dxa" w:w="100"/>
            </w:tcMar>
            <w:vAlign w:val="center"/>
          </w:tcPr>
          <w:p>
            <w:pPr>
              <w:jc w:val="left"/>
            </w:pPr>
            <w:r>
              <w:rPr>
                <w:b w:val="false"/>
                <w:bCs w:val="false"/>
                <w:sz w:val="20"/>
                <w:szCs w:val="20"/>
              </w:rPr>
              <w:t xml:space="preserve">Rp40.000 / akun / bulan</w:t>
            </w:r>
          </w:p>
        </w:tc>
        <w:tc>
          <w:tcPr>
            <w:tcW w:type="dxa" w:w="3600"/>
            <w:shd w:fill="F2F6FA" w:val="clear"/>
            <w:tcMar>
              <w:top w:type="dxa" w:w="80"/>
              <w:left w:type="dxa" w:w="100"/>
              <w:bottom w:type="dxa" w:w="80"/>
              <w:right w:type="dxa" w:w="100"/>
            </w:tcMar>
            <w:vAlign w:val="center"/>
          </w:tcPr>
          <w:p>
            <w:pPr>
              <w:jc w:val="left"/>
            </w:pPr>
            <w:r>
              <w:rPr>
                <w:b w:val="false"/>
                <w:bCs w:val="false"/>
                <w:sz w:val="20"/>
                <w:szCs w:val="20"/>
              </w:rPr>
              <w:t xml:space="preserve">Lump-sum Rp4.000.000/bulan ke Pajakin.id</w:t>
            </w:r>
          </w:p>
        </w:tc>
      </w:tr>
    </w:tbl>
    <w:p>
      <w:pPr>
        <w:pStyle w:val="Heading1"/>
        <w:spacing w:after="160" w:before="360"/>
      </w:pPr>
      <w:r>
        <w:t xml:space="preserve">14. Definition of Done (DoD) &amp; Acceptance Criteria</w:t>
      </w:r>
    </w:p>
    <w:p>
      <w:pPr>
        <w:spacing w:after="160" w:line="276"/>
      </w:pPr>
      <w:r>
        <w:t xml:space="preserve">Sebuah siklus rilis MVP dianggap siap diluncurkan ke pengujian lapangan (Beta) apabila telah memenuhi kriteria penerimaan mutlak berikut:</w:t>
      </w:r>
    </w:p>
    <w:p>
      <w:pPr>
        <w:pStyle w:val="Heading3"/>
        <w:spacing w:after="100" w:before="200"/>
      </w:pPr>
      <w:r>
        <w:t xml:space="preserve">14.1 100% Mathematical Accuracy</w:t>
      </w:r>
    </w:p>
    <w:p>
      <w:pPr>
        <w:spacing w:after="160" w:line="276"/>
      </w:pPr>
      <w:r>
        <w:t xml:space="preserve">Perhitungan angka omzet dan PPh Final 0,5% telah diverifikasi melalui automated unit testing pada 1.000 skenario transaksi tanpa ada galat pembulatan desimal. Pengujian pada edge case transisi omzet tepat di angka Rp499.999.999 menuju melampaui Rp500 Juta wajib menghasilkan angka pajak yang 100% akurat.</w:t>
      </w:r>
    </w:p>
    <w:p>
      <w:pPr>
        <w:pStyle w:val="Heading3"/>
        <w:spacing w:after="100" w:before="200"/>
      </w:pPr>
      <w:r>
        <w:t xml:space="preserve">14.2 RLS Penetration Verified</w:t>
      </w:r>
    </w:p>
    <w:p>
      <w:pPr>
        <w:spacing w:after="160" w:line="276"/>
      </w:pPr>
      <w:r>
        <w:t xml:space="preserve">Pengujian penetrasi keamanan di mana token JWT milik Konsultan A mencoba memanggil endpoint data transaksi milik Konsultan B wajib mengembalikan status HTTP 404 Not Found atau 403 Forbidden langsung dari tingkat basis data. Pengujian yang sama wajib mencakup skenario akses Advisory yang sudah EXPIRED.</w:t>
      </w:r>
    </w:p>
    <w:p>
      <w:pPr>
        <w:pStyle w:val="Heading3"/>
        <w:spacing w:after="100" w:before="200"/>
      </w:pPr>
      <w:r>
        <w:t xml:space="preserve">14.3 Asynchronous Non-Blocking &amp; Anti-Spam Safe</w:t>
      </w:r>
    </w:p>
    <w:p>
      <w:pPr>
        <w:spacing w:after="160" w:line="276"/>
      </w:pPr>
      <w:r>
        <w:t xml:space="preserve">Tugas yang memakan waktu eksekusi di atas 300 milidetik (pembuatan PDF massal, pengiriman pesan WAHA) telah berhasil dieksekusi melalui antrean Redis Queue. Latensi API utama tidak pernah melebihi 200 milidetik saat simulasi lonjakan 1.500 webhook bersamaan, dan rotasi jitter delay berfungsi mencegah pemblokiran nomor oleh Meta.</w:t>
      </w:r>
    </w:p>
    <w:p>
      <w:pPr>
        <w:pStyle w:val="Heading3"/>
        <w:spacing w:after="100" w:before="200"/>
      </w:pPr>
      <w:r>
        <w:t xml:space="preserve">14.4 Zero-Learning Curve UX</w:t>
      </w:r>
    </w:p>
    <w:p>
      <w:pPr>
        <w:spacing w:after="160" w:line="276"/>
      </w:pPr>
      <w:r>
        <w:t xml:space="preserve">Pelaku UMKM mikro berhasil mencatat transaksi kas, memantau batas bebas pajak Rp500 Juta, dan mengunduh dokumen Draf SPT .PDF langsung dari layar WhatsApp dalam waktu di bawah 1 menit tanpa perlu membuka tutorial atau aplikasi web.</w:t>
      </w:r>
    </w:p>
    <w:p>
      <w:pPr>
        <w:pStyle w:val="Heading1"/>
        <w:spacing w:after="160" w:before="360"/>
      </w:pPr>
      <w:r>
        <w:t xml:space="preserve">15. Glosarium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Istilah</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Definisi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PP 20/2026</w:t>
            </w:r>
          </w:p>
        </w:tc>
        <w:tc>
          <w:tcPr>
            <w:tcW w:type="dxa" w:w="8600"/>
            <w:tcMar>
              <w:top w:type="dxa" w:w="80"/>
              <w:left w:type="dxa" w:w="100"/>
              <w:bottom w:type="dxa" w:w="80"/>
              <w:right w:type="dxa" w:w="100"/>
            </w:tcMar>
            <w:vAlign w:val="center"/>
          </w:tcPr>
          <w:p>
            <w:pPr>
              <w:jc w:val="left"/>
            </w:pPr>
            <w:r>
              <w:rPr>
                <w:b w:val="false"/>
                <w:bCs w:val="false"/>
                <w:sz w:val="20"/>
                <w:szCs w:val="20"/>
              </w:rPr>
              <w:t xml:space="preserve">Peraturan Pemerintah terbaru (revisi PP 55/2022) yang menetapkan fasilitas PPh Final 0,5% bersifat permanen bagi Orang Pribadi &amp; PT Perorangan, serta mencabut fasilitas tersebut untuk CV dan PT biasa sejak hari pertama didirikan</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Graduation Threshold</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Ambang batas omzet peredaran bruto Rp4,8 Miliar per tahun. Klien yang menembus batas ini wajib beralih ke Pembukuan Normal dan menjadi PKP (Pengusaha Kena Pajak), memicu alur integrasi ke Konsultan Pajak di sistem Pajakin.id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BADAN_NON_ELIGIBLE</w:t>
            </w:r>
          </w:p>
        </w:tc>
        <w:tc>
          <w:tcPr>
            <w:tcW w:type="dxa" w:w="8600"/>
            <w:tcMar>
              <w:top w:type="dxa" w:w="80"/>
              <w:left w:type="dxa" w:w="100"/>
              <w:bottom w:type="dxa" w:w="80"/>
              <w:right w:type="dxa" w:w="100"/>
            </w:tcMar>
            <w:vAlign w:val="center"/>
          </w:tcPr>
          <w:p>
            <w:pPr>
              <w:jc w:val="left"/>
            </w:pPr>
            <w:r>
              <w:rPr>
                <w:b w:val="false"/>
                <w:bCs w:val="false"/>
                <w:sz w:val="20"/>
                <w:szCs w:val="20"/>
              </w:rPr>
              <w:t xml:space="preserve">Label sistem untuk entitas usaha berbadan hukum umum (CV, Firma, PT Konvensional) yang tidak berhak menggunakan rumus PPh Final 0,5% dan langsung diarahkan untuk konsultasi pembukuan normal</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PKP</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Pengusaha Kena Pajak — status wajib pajak yang dikukuhkan setelah omzet melampaui Rp4,8 Miliar/tahun, dengan kewajiban pembukuan normal (bukan lagi PPh Final 0,5%)</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WAHA</w:t>
            </w:r>
          </w:p>
        </w:tc>
        <w:tc>
          <w:tcPr>
            <w:tcW w:type="dxa" w:w="8600"/>
            <w:tcMar>
              <w:top w:type="dxa" w:w="80"/>
              <w:left w:type="dxa" w:w="100"/>
              <w:bottom w:type="dxa" w:w="80"/>
              <w:right w:type="dxa" w:w="100"/>
            </w:tcMar>
            <w:vAlign w:val="center"/>
          </w:tcPr>
          <w:p>
            <w:pPr>
              <w:jc w:val="left"/>
            </w:pPr>
            <w:r>
              <w:rPr>
                <w:b w:val="false"/>
                <w:bCs w:val="false"/>
                <w:sz w:val="20"/>
                <w:szCs w:val="20"/>
              </w:rPr>
              <w:t xml:space="preserve">WhatsApp HTTP API — API Gateway wrapper yang menjembatani backend Golang dengan ekosistem WhatsApp (mendukung mesin Baileys/unofficial dan Meta Cloud API/official)</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RLS</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Row-Level Security — fitur PostgreSQL untuk isolasi data antar-tenant di level database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Full Managed</w:t>
            </w:r>
          </w:p>
        </w:tc>
        <w:tc>
          <w:tcPr>
            <w:tcW w:type="dxa" w:w="8600"/>
            <w:tcMar>
              <w:top w:type="dxa" w:w="80"/>
              <w:left w:type="dxa" w:w="100"/>
              <w:bottom w:type="dxa" w:w="80"/>
              <w:right w:type="dxa" w:w="100"/>
            </w:tcMar>
            <w:vAlign w:val="center"/>
          </w:tcPr>
          <w:p>
            <w:pPr>
              <w:jc w:val="left"/>
            </w:pPr>
            <w:r>
              <w:rPr>
                <w:b w:val="false"/>
                <w:bCs w:val="false"/>
                <w:sz w:val="20"/>
                <w:szCs w:val="20"/>
              </w:rPr>
              <w:t xml:space="preserve">Mode relasi UMKM–Konsultan di mana pembukuan dikelola penuh oleh konsultan tetap (aktivasi via SETUJU/BIND)</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Advisory / Guest Access</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Mode akses baca sementara oleh konsultan eksternal dengan masa berlaku terbatas (aktivasi via IZIN [N] HARI, pencabutan via CABUT AKSES)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Audit Trail</w:t>
            </w:r>
          </w:p>
        </w:tc>
        <w:tc>
          <w:tcPr>
            <w:tcW w:type="dxa" w:w="8600"/>
            <w:tcMar>
              <w:top w:type="dxa" w:w="80"/>
              <w:left w:type="dxa" w:w="100"/>
              <w:bottom w:type="dxa" w:w="80"/>
              <w:right w:type="dxa" w:w="100"/>
            </w:tcMar>
            <w:vAlign w:val="center"/>
          </w:tcPr>
          <w:p>
            <w:pPr>
              <w:jc w:val="left"/>
            </w:pPr>
            <w:r>
              <w:rPr>
                <w:b w:val="false"/>
                <w:bCs w:val="false"/>
                <w:sz w:val="20"/>
                <w:szCs w:val="20"/>
              </w:rPr>
              <w:t xml:space="preserve">Rekam jejak transaksi historis yang immutable, digunakan sebagai syarat administrasi pengajuan KUR</w:t>
            </w:r>
          </w:p>
        </w:tc>
      </w:tr>
      <w:tr>
        <w:tc>
          <w:tcPr>
            <w:tcW w:type="dxa" w:w="2600"/>
            <w:shd w:fill="F2F6FA" w:val="clear"/>
            <w:tcMar>
              <w:top w:type="dxa" w:w="80"/>
              <w:left w:type="dxa" w:w="100"/>
              <w:bottom w:type="dxa" w:w="80"/>
              <w:right w:type="dxa" w:w="100"/>
            </w:tcMar>
            <w:vAlign w:val="center"/>
          </w:tcPr>
          <w:p>
            <w:pPr>
              <w:jc w:val="left"/>
            </w:pPr>
            <w:r>
              <w:rPr>
                <w:b w:val="false"/>
                <w:bCs w:val="false"/>
                <w:sz w:val="20"/>
                <w:szCs w:val="20"/>
              </w:rPr>
              <w:t xml:space="preserve">KUR</w:t>
            </w:r>
          </w:p>
        </w:tc>
        <w:tc>
          <w:tcPr>
            <w:tcW w:type="dxa" w:w="8600"/>
            <w:shd w:fill="F2F6FA" w:val="clear"/>
            <w:tcMar>
              <w:top w:type="dxa" w:w="80"/>
              <w:left w:type="dxa" w:w="100"/>
              <w:bottom w:type="dxa" w:w="80"/>
              <w:right w:type="dxa" w:w="100"/>
            </w:tcMar>
            <w:vAlign w:val="center"/>
          </w:tcPr>
          <w:p>
            <w:pPr>
              <w:jc w:val="left"/>
            </w:pPr>
            <w:r>
              <w:rPr>
                <w:b w:val="false"/>
                <w:bCs w:val="false"/>
                <w:sz w:val="20"/>
                <w:szCs w:val="20"/>
              </w:rPr>
              <w:t xml:space="preserve">Kredit Usaha Rakyat — skema pinjaman modal usaha dari perbankan bagi UMKM</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Hash Chaining</w:t>
            </w:r>
          </w:p>
        </w:tc>
        <w:tc>
          <w:tcPr>
            <w:tcW w:type="dxa" w:w="8600"/>
            <w:tcMar>
              <w:top w:type="dxa" w:w="80"/>
              <w:left w:type="dxa" w:w="100"/>
              <w:bottom w:type="dxa" w:w="80"/>
              <w:right w:type="dxa" w:w="100"/>
            </w:tcMar>
            <w:vAlign w:val="center"/>
          </w:tcPr>
          <w:p>
            <w:pPr>
              <w:jc w:val="left"/>
            </w:pPr>
            <w:r>
              <w:rPr>
                <w:b w:val="false"/>
                <w:bCs w:val="false"/>
                <w:sz w:val="20"/>
                <w:szCs w:val="20"/>
              </w:rPr>
              <w:t xml:space="preserve">Teknik mengaitkan hash setiap baris data dengan hash baris sebelumnya agar perubahan ilegal dapat terdeteksi</w:t>
            </w:r>
          </w:p>
        </w:tc>
      </w:tr>
    </w:tbl>
    <w:p>
      <w:pPr>
        <w:spacing w:after="160" w:line="276"/>
      </w:pPr>
      <w:r>
        <w:rPr>
          <w:i/>
          <w:iCs/>
          <w:color w:val="595959"/>
        </w:rPr>
        <w:t xml:space="preserve">Dokumen PRD &amp; Spesifikasi Teknis ini adalah standar instruksi kerja rekayasa resmi untuk pengembangan platform Pajakin.id.</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Pajakin.id — PRD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2026-07-17T06:04:00.446Z</dcterms:created>
  <dcterms:modified xsi:type="dcterms:W3CDTF">2026-07-17T06:04:00.458Z</dcterms:modified>
</cp:coreProperties>
</file>

<file path=docProps/custom.xml><?xml version="1.0" encoding="utf-8"?>
<Properties xmlns="http://schemas.openxmlformats.org/officeDocument/2006/custom-properties" xmlns:vt="http://schemas.openxmlformats.org/officeDocument/2006/docPropsVTypes"/>
</file>