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2E74B5"/>
          <w:sz w:val="28"/>
          <w:szCs w:val="28"/>
        </w:rPr>
        <w:t xml:space="preserve">PRODUCT REQUIREMENTS DOCUMENT</w:t>
      </w:r>
    </w:p>
    <w:p>
      <w:pPr>
        <w:spacing w:before="200"/>
        <w:jc w:val="center"/>
      </w:pPr>
      <w:r>
        <w:rPr>
          <w:b/>
          <w:bCs/>
          <w:color w:val="1F3864"/>
          <w:sz w:val="64"/>
          <w:szCs w:val="64"/>
        </w:rPr>
        <w:t xml:space="preserve">PAJAKIN.ID</w:t>
      </w:r>
    </w:p>
    <w:p>
      <w:pPr>
        <w:spacing w:after="400" w:before="100"/>
        <w:jc w:val="center"/>
      </w:pPr>
      <w:r>
        <w:rPr>
          <w:i/>
          <w:iCs/>
          <w:color w:val="595959"/>
          <w:sz w:val="24"/>
          <w:szCs w:val="24"/>
        </w:rPr>
        <w:t xml:space="preserve">Automated Tax Compliance &amp; Financial Profiling SaaS untuk UMKM Mikro dan Konsultan Pajak Independen</w:t>
      </w:r>
    </w:p>
    <w:p>
      <w:pPr>
        <w:pBdr>
          <w:top w:val="single" w:color="2E74B5" w:sz="6"/>
        </w:pBdr>
        <w:spacing w:before="800"/>
        <w:jc w:val="center"/>
      </w:pPr>
    </w:p>
    <w:p>
      <w:pPr>
        <w:spacing w:before="400"/>
        <w:jc w:val="center"/>
      </w:pPr>
      <w:r>
        <w:rPr>
          <w:color w:val="595959"/>
          <w:sz w:val="22"/>
          <w:szCs w:val="22"/>
        </w:rPr>
        <w:t xml:space="preserve">Versi 1.0  |  17 Juli 2026</w:t>
      </w:r>
    </w:p>
    <w:p>
      <w:pPr>
        <w:spacing w:before="100"/>
        <w:jc w:val="center"/>
      </w:pPr>
      <w:r>
        <w:rPr>
          <w:color w:val="595959"/>
          <w:sz w:val="22"/>
          <w:szCs w:val="22"/>
        </w:rPr>
        <w:t xml:space="preserve">Siklus: MVP Beta Cycle (Bulan 1–6)</w:t>
      </w:r>
    </w:p>
    <w:p>
      <w:pPr>
        <w:spacing w:before="600"/>
        <w:jc w:val="center"/>
      </w:pPr>
      <w:r>
        <w:rPr>
          <w:b/>
          <w:bCs/>
          <w:sz w:val="22"/>
          <w:szCs w:val="22"/>
        </w:rPr>
        <w:t xml:space="preserve">Tim Inti</w:t>
      </w:r>
    </w:p>
    <w:p>
      <w:pPr>
        <w:spacing w:before="100"/>
        <w:jc w:val="center"/>
      </w:pPr>
      <w:r>
        <w:rPr>
          <w:sz w:val="20"/>
          <w:szCs w:val="20"/>
        </w:rPr>
        <w:t xml:space="preserve">I Gede Agus Supartana — Ketua Tim / Hustler</w:t>
      </w:r>
    </w:p>
    <w:p>
      <w:pPr>
        <w:jc w:val="center"/>
      </w:pPr>
      <w:r>
        <w:rPr>
          <w:sz w:val="20"/>
          <w:szCs w:val="20"/>
        </w:rPr>
        <w:t xml:space="preserve">I Putu Gede Saputra (Tude) — Frontend / Web Dashboard</w:t>
      </w:r>
    </w:p>
    <w:p>
      <w:pPr>
        <w:jc w:val="center"/>
      </w:pPr>
      <w:r>
        <w:rPr>
          <w:sz w:val="20"/>
          <w:szCs w:val="20"/>
        </w:rPr>
        <w:t xml:space="preserve">I Made Angga Puspa Yoga — Backend / Core Engine</w:t>
      </w:r>
    </w:p>
    <w:p>
      <w:pPr>
        <w:jc w:val="center"/>
      </w:pPr>
      <w:r>
        <w:rPr>
          <w:sz w:val="20"/>
          <w:szCs w:val="20"/>
        </w:rPr>
        <w:t xml:space="preserve">I Made Putra Krishna — Project Manager &amp; Business Strategist</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60" w:before="360"/>
      </w:pPr>
      <w:r>
        <w:t xml:space="preserve">1. Ringkasan Eksekutif</w:t>
      </w:r>
    </w:p>
    <w:p>
      <w:pPr>
        <w:spacing w:after="160" w:line="276"/>
      </w:pPr>
      <w:r>
        <w:t xml:space="preserve">Pajakin.id adalah platform SaaS otomasi kepatuhan pajak dan pembentukan profil keuangan yang mengubah status pelaku UMKM mikro dari unbankable menjadi bankable, sekaligus melipatgandakan kapasitas kerja Konsultan Pajak Independen hingga 2–3 kali lipat tanpa penambahan staf.</w:t>
      </w:r>
    </w:p>
    <w:p>
      <w:pPr>
        <w:spacing w:after="160" w:line="276"/>
      </w:pPr>
      <w:r>
        <w:t xml:space="preserve">Produk ini membagi tugas antara WhatsApp (via WAHA — WhatsApp HTTP API) sebagai kanal input/output transaksi harian yang cepat, dan Web Dashboard (Next.js) sebagai pusat kontrol visual dan manajemen data mendalam untuk dua jenis pengguna: UMKM Mandiri dan Konsultan Pajak (B2B).</w:t>
      </w:r>
    </w:p>
    <w:p>
      <w:pPr>
        <w:spacing w:after="160" w:line="276"/>
      </w:pPr>
      <w:r>
        <w:t xml:space="preserve">Dokumen PRD ini menerjemahkan Product Pitch Document (Shape Up) dan TADS (Technical Architecture &amp; Development Specification) menjadi satu acuan kerja tunggal yang dapat langsung dieksekusi oleh tim developer (Angga — domain backend/core engine, dan Tude — domain frontend/dashboard) selama siklus MVP Beta 6 bulan pertama.</w:t>
      </w:r>
    </w:p>
    <w:p>
      <w:pPr>
        <w:pStyle w:val="Heading2"/>
        <w:spacing w:after="120" w:before="260"/>
      </w:pPr>
      <w:r>
        <w:t xml:space="preserve">1.1 Masalah yang Diselesaikan</w:t>
      </w:r>
    </w:p>
    <w:p>
      <w:pPr>
        <w:pStyle w:val="ListParagraph"/>
        <w:numPr>
          <w:ilvl w:val="0"/>
          <w:numId w:val="2"/>
        </w:numPr>
        <w:spacing w:after="80" w:line="276"/>
      </w:pPr>
      <w:r>
        <w:t xml:space="preserve">Regulasi PP 55/2022 memberi UMKM pembebasan pajak untuk omzet ≤ Rp500 juta/tahun dan tarif PPh Final 0,5% setelahnya, namun minim perangkat bantu yang sesuai literasi teknologi UMKM mikro.</w:t>
      </w:r>
    </w:p>
    <w:p>
      <w:pPr>
        <w:pStyle w:val="ListParagraph"/>
        <w:numPr>
          <w:ilvl w:val="0"/>
          <w:numId w:val="2"/>
        </w:numPr>
        <w:spacing w:after="80" w:line="276"/>
      </w:pPr>
      <w:r>
        <w:t xml:space="preserve">Software akuntansi konvensional (mis. Mekari Jurnal) terlalu kompleks dan mahal (&gt;Rp200.000/bulan) untuk usaha mikro.</w:t>
      </w:r>
    </w:p>
    <w:p>
      <w:pPr>
        <w:pStyle w:val="ListParagraph"/>
        <w:numPr>
          <w:ilvl w:val="0"/>
          <w:numId w:val="2"/>
        </w:numPr>
        <w:spacing w:after="80" w:line="276"/>
      </w:pPr>
      <w:r>
        <w:t xml:space="preserve">Aplikasi e-filing (mis. Klikpajak) hanya menangani pelaporan akhir, tidak memfasilitasi pencatatan arus kas harian.</w:t>
      </w:r>
    </w:p>
    <w:p>
      <w:pPr>
        <w:pStyle w:val="ListParagraph"/>
        <w:numPr>
          <w:ilvl w:val="0"/>
          <w:numId w:val="2"/>
        </w:numPr>
        <w:spacing w:after="80" w:line="276"/>
      </w:pPr>
      <w:r>
        <w:t xml:space="preserve">Akibatnya UMKM mengandalkan catatan manual/Excel yang rawan salah hitung, memicu "Audit Phobia", dan terkurung status unbankable karena tidak memiliki audit trail yang valid untuk pengajuan KUR.</w:t>
      </w:r>
    </w:p>
    <w:p>
      <w:pPr>
        <w:pStyle w:val="Heading2"/>
        <w:spacing w:after="120" w:before="260"/>
      </w:pPr>
      <w:r>
        <w:t xml:space="preserve">1.2 Prinsip Produk yang Tidak Bisa Ditawar (Engineering Guardrails)</w:t>
      </w:r>
    </w:p>
    <w:p>
      <w:pPr>
        <w:pStyle w:val="ListParagraph"/>
        <w:numPr>
          <w:ilvl w:val="0"/>
          <w:numId w:val="2"/>
        </w:numPr>
        <w:spacing w:after="80" w:line="276"/>
      </w:pPr>
      <w:r>
        <w:t xml:space="preserve">Zero AI/LLM Dependency — seluruh kalkulasi pajak dan penguraian teks wajib deterministik (rule-based), tidak boleh menggunakan model probabilistik/LLM.</w:t>
      </w:r>
    </w:p>
    <w:p>
      <w:pPr>
        <w:pStyle w:val="ListParagraph"/>
        <w:numPr>
          <w:ilvl w:val="0"/>
          <w:numId w:val="2"/>
        </w:numPr>
        <w:spacing w:after="80" w:line="276"/>
      </w:pPr>
      <w:r>
        <w:t xml:space="preserve">Strict Data Isolation via RLS — isolasi multi-tenant wajib pada level database menggunakan PostgreSQL Row-Level Security.</w:t>
      </w:r>
    </w:p>
    <w:p>
      <w:pPr>
        <w:pStyle w:val="ListParagraph"/>
        <w:numPr>
          <w:ilvl w:val="0"/>
          <w:numId w:val="2"/>
        </w:numPr>
        <w:spacing w:after="80" w:line="276"/>
      </w:pPr>
      <w:r>
        <w:t xml:space="preserve">Asynchronous Heavy Lifting — seluruh proses I/O berat (generate PDF, broadcast WhatsApp) wajib berjalan di background worker agar latensi API utama tetap di bawah 200ms.</w:t>
      </w:r>
    </w:p>
    <w:p>
      <w:pPr>
        <w:pStyle w:val="Heading1"/>
        <w:spacing w:after="160" w:before="360"/>
      </w:pPr>
      <w:r>
        <w:t xml:space="preserve">2. Tujuan Produk &amp; Metrik Keberhasilan (Appetite: 6–12 Bulan)</w:t>
      </w:r>
    </w:p>
    <w:p>
      <w:pPr>
        <w:spacing w:after="160" w:line="276"/>
      </w:pPr>
      <w:r>
        <w:t xml:space="preserve">Sesuai metodologi Shape Up, appetite eksekusi ditetapkan ketat pada siklus 6–12 bulan pertama, dengan target terukur berikut sebagai definisi keberhasilan produk: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200"/>
      </w:tblGrid>
      <w:tr>
        <w:trPr>
          <w:tblHeader/>
        </w:trPr>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Metrik / Key Result</w:t>
            </w:r>
          </w:p>
        </w:tc>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Target Bulan ke-6 (MVP Beta)</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Target Tahun ke-1 (Commercial Scaling)</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Skala Pengguna Aktif (MAU)</w:t>
            </w:r>
          </w:p>
        </w:tc>
        <w:tc>
          <w:tcPr>
            <w:tcW w:type="dxa" w:w="3000"/>
            <w:tcMar>
              <w:top w:type="dxa" w:w="80"/>
              <w:left w:type="dxa" w:w="100"/>
              <w:bottom w:type="dxa" w:w="80"/>
              <w:right w:type="dxa" w:w="100"/>
            </w:tcMar>
            <w:vAlign w:val="center"/>
          </w:tcPr>
          <w:p>
            <w:pPr>
              <w:jc w:val="left"/>
            </w:pPr>
            <w:r>
              <w:rPr>
                <w:b w:val="false"/>
                <w:bCs w:val="false"/>
                <w:sz w:val="20"/>
                <w:szCs w:val="20"/>
              </w:rPr>
              <w:t xml:space="preserve">500 UMKM aktif, retensi ≥ 75%</w:t>
            </w:r>
          </w:p>
        </w:tc>
        <w:tc>
          <w:tcPr>
            <w:tcW w:type="dxa" w:w="3200"/>
            <w:tcMar>
              <w:top w:type="dxa" w:w="80"/>
              <w:left w:type="dxa" w:w="100"/>
              <w:bottom w:type="dxa" w:w="80"/>
              <w:right w:type="dxa" w:w="100"/>
            </w:tcMar>
            <w:vAlign w:val="center"/>
          </w:tcPr>
          <w:p>
            <w:pPr>
              <w:jc w:val="left"/>
            </w:pPr>
            <w:r>
              <w:rPr>
                <w:b w:val="false"/>
                <w:bCs w:val="false"/>
                <w:sz w:val="20"/>
                <w:szCs w:val="20"/>
              </w:rPr>
              <w:t xml:space="preserve">1.500 UMKM aktif, 5,4 juta entri transaksi/tahun</w:t>
            </w:r>
          </w:p>
        </w:tc>
      </w:tr>
      <w:tr>
        <w:tc>
          <w:tcPr>
            <w:tcW w:type="dxa" w:w="3600"/>
            <w:shd w:fill="F2F6FA" w:val="clear"/>
            <w:tcMar>
              <w:top w:type="dxa" w:w="80"/>
              <w:left w:type="dxa" w:w="100"/>
              <w:bottom w:type="dxa" w:w="80"/>
              <w:right w:type="dxa" w:w="100"/>
            </w:tcMar>
            <w:vAlign w:val="center"/>
          </w:tcPr>
          <w:p>
            <w:pPr>
              <w:jc w:val="left"/>
            </w:pPr>
            <w:r>
              <w:rPr>
                <w:b w:val="false"/>
                <w:bCs w:val="false"/>
                <w:sz w:val="20"/>
                <w:szCs w:val="20"/>
              </w:rPr>
              <w:t xml:space="preserve">Mitra Konsultan Pajak (B2B)</w:t>
            </w:r>
          </w:p>
        </w:tc>
        <w:tc>
          <w:tcPr>
            <w:tcW w:type="dxa" w:w="3000"/>
            <w:shd w:fill="F2F6FA" w:val="clear"/>
            <w:tcMar>
              <w:top w:type="dxa" w:w="80"/>
              <w:left w:type="dxa" w:w="100"/>
              <w:bottom w:type="dxa" w:w="80"/>
              <w:right w:type="dxa" w:w="100"/>
            </w:tcMar>
            <w:vAlign w:val="center"/>
          </w:tcPr>
          <w:p>
            <w:pPr>
              <w:jc w:val="left"/>
            </w:pPr>
            <w:r>
              <w:rPr>
                <w:b w:val="false"/>
                <w:bCs w:val="false"/>
                <w:sz w:val="20"/>
                <w:szCs w:val="20"/>
              </w:rPr>
              <w:t xml:space="preserve">10 mitra terotorisasi</w:t>
            </w:r>
          </w:p>
        </w:tc>
        <w:tc>
          <w:tcPr>
            <w:tcW w:type="dxa" w:w="3200"/>
            <w:shd w:fill="F2F6FA" w:val="clear"/>
            <w:tcMar>
              <w:top w:type="dxa" w:w="80"/>
              <w:left w:type="dxa" w:w="100"/>
              <w:bottom w:type="dxa" w:w="80"/>
              <w:right w:type="dxa" w:w="100"/>
            </w:tcMar>
            <w:vAlign w:val="center"/>
          </w:tcPr>
          <w:p>
            <w:pPr>
              <w:jc w:val="left"/>
            </w:pPr>
            <w:r>
              <w:rPr>
                <w:b w:val="false"/>
                <w:bCs w:val="false"/>
                <w:sz w:val="20"/>
                <w:szCs w:val="20"/>
              </w:rPr>
              <w:t xml:space="preserve">50 mitra (@ 30–50 klien rata-rata)</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Efisiensi Waktu Pelaporan</w:t>
            </w:r>
          </w:p>
        </w:tc>
        <w:tc>
          <w:tcPr>
            <w:tcW w:type="dxa" w:w="3000"/>
            <w:tcMar>
              <w:top w:type="dxa" w:w="80"/>
              <w:left w:type="dxa" w:w="100"/>
              <w:bottom w:type="dxa" w:w="80"/>
              <w:right w:type="dxa" w:w="100"/>
            </w:tcMar>
            <w:vAlign w:val="center"/>
          </w:tcPr>
          <w:p>
            <w:pPr>
              <w:jc w:val="left"/>
            </w:pPr>
            <w:r>
              <w:rPr>
                <w:b w:val="false"/>
                <w:bCs w:val="false"/>
                <w:sz w:val="20"/>
                <w:szCs w:val="20"/>
              </w:rPr>
              <w:t xml:space="preserve">4 jam → &lt; 10 menit</w:t>
            </w:r>
          </w:p>
        </w:tc>
        <w:tc>
          <w:tcPr>
            <w:tcW w:type="dxa" w:w="3200"/>
            <w:tcMar>
              <w:top w:type="dxa" w:w="80"/>
              <w:left w:type="dxa" w:w="100"/>
              <w:bottom w:type="dxa" w:w="80"/>
              <w:right w:type="dxa" w:w="100"/>
            </w:tcMar>
            <w:vAlign w:val="center"/>
          </w:tcPr>
          <w:p>
            <w:pPr>
              <w:jc w:val="left"/>
            </w:pPr>
            <w:r>
              <w:rPr>
                <w:b w:val="false"/>
                <w:bCs w:val="false"/>
                <w:sz w:val="20"/>
                <w:szCs w:val="20"/>
              </w:rPr>
              <w:t xml:space="preserve">Maks. 5 menit/bulan (97,9% efisiensi)</w:t>
            </w:r>
          </w:p>
        </w:tc>
      </w:tr>
      <w:tr>
        <w:tc>
          <w:tcPr>
            <w:tcW w:type="dxa" w:w="3600"/>
            <w:shd w:fill="F2F6FA" w:val="clear"/>
            <w:tcMar>
              <w:top w:type="dxa" w:w="80"/>
              <w:left w:type="dxa" w:w="100"/>
              <w:bottom w:type="dxa" w:w="80"/>
              <w:right w:type="dxa" w:w="100"/>
            </w:tcMar>
            <w:vAlign w:val="center"/>
          </w:tcPr>
          <w:p>
            <w:pPr>
              <w:jc w:val="left"/>
            </w:pPr>
            <w:r>
              <w:rPr>
                <w:b w:val="false"/>
                <w:bCs w:val="false"/>
                <w:sz w:val="20"/>
                <w:szCs w:val="20"/>
              </w:rPr>
              <w:t xml:space="preserve">Target Pendapatan (MRR/ARR)</w:t>
            </w:r>
          </w:p>
        </w:tc>
        <w:tc>
          <w:tcPr>
            <w:tcW w:type="dxa" w:w="3000"/>
            <w:shd w:fill="F2F6FA" w:val="clear"/>
            <w:tcMar>
              <w:top w:type="dxa" w:w="80"/>
              <w:left w:type="dxa" w:w="100"/>
              <w:bottom w:type="dxa" w:w="80"/>
              <w:right w:type="dxa" w:w="100"/>
            </w:tcMar>
            <w:vAlign w:val="center"/>
          </w:tcPr>
          <w:p>
            <w:pPr>
              <w:jc w:val="left"/>
            </w:pPr>
            <w:r>
              <w:rPr>
                <w:b w:val="false"/>
                <w:bCs w:val="false"/>
                <w:sz w:val="20"/>
                <w:szCs w:val="20"/>
              </w:rPr>
              <w:t xml:space="preserve">MRR Rp27,5 Juta (Gross Margin &gt; 80%)</w:t>
            </w:r>
          </w:p>
        </w:tc>
        <w:tc>
          <w:tcPr>
            <w:tcW w:type="dxa" w:w="3200"/>
            <w:shd w:fill="F2F6FA" w:val="clear"/>
            <w:tcMar>
              <w:top w:type="dxa" w:w="80"/>
              <w:left w:type="dxa" w:w="100"/>
              <w:bottom w:type="dxa" w:w="80"/>
              <w:right w:type="dxa" w:w="100"/>
            </w:tcMar>
            <w:vAlign w:val="center"/>
          </w:tcPr>
          <w:p>
            <w:pPr>
              <w:jc w:val="left"/>
            </w:pPr>
            <w:r>
              <w:rPr>
                <w:b w:val="false"/>
                <w:bCs w:val="false"/>
                <w:sz w:val="20"/>
                <w:szCs w:val="20"/>
              </w:rPr>
              <w:t xml:space="preserve">MRR Rp83,7 Juta (ARR ± Rp1,004 Miliar)</w:t>
            </w:r>
          </w:p>
        </w:tc>
      </w:tr>
    </w:tbl>
    <w:p>
      <w:pPr>
        <w:pStyle w:val="Heading2"/>
        <w:spacing w:after="120" w:before="260"/>
      </w:pPr>
      <w:r>
        <w:t xml:space="preserve">2.1 Unit Economics (Rujukan Validasi Bisnis)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200"/>
      </w:tblGrid>
      <w:tr>
        <w:trPr>
          <w:tblHeader/>
        </w:trPr>
        <w:tc>
          <w:tcPr>
            <w:tcW w:type="dxa" w:w="2800"/>
            <w:shd w:fill="1F3864" w:val="clear"/>
            <w:tcMar>
              <w:top w:type="dxa" w:w="80"/>
              <w:left w:type="dxa" w:w="100"/>
              <w:bottom w:type="dxa" w:w="80"/>
              <w:right w:type="dxa" w:w="100"/>
            </w:tcMar>
            <w:vAlign w:val="center"/>
          </w:tcPr>
          <w:p>
            <w:pPr>
              <w:jc w:val="left"/>
            </w:pPr>
            <w:r>
              <w:rPr>
                <w:b/>
                <w:bCs/>
                <w:color w:val="FFFFFF"/>
                <w:sz w:val="20"/>
                <w:szCs w:val="20"/>
              </w:rPr>
              <w:t xml:space="preserve">Metrik</w:t>
            </w:r>
          </w:p>
        </w:tc>
        <w:tc>
          <w:tcPr>
            <w:tcW w:type="dxa" w:w="2800"/>
            <w:shd w:fill="1F3864" w:val="clear"/>
            <w:tcMar>
              <w:top w:type="dxa" w:w="80"/>
              <w:left w:type="dxa" w:w="100"/>
              <w:bottom w:type="dxa" w:w="80"/>
              <w:right w:type="dxa" w:w="100"/>
            </w:tcMar>
            <w:vAlign w:val="center"/>
          </w:tcPr>
          <w:p>
            <w:pPr>
              <w:jc w:val="left"/>
            </w:pPr>
            <w:r>
              <w:rPr>
                <w:b/>
                <w:bCs/>
                <w:color w:val="FFFFFF"/>
                <w:sz w:val="20"/>
                <w:szCs w:val="20"/>
              </w:rPr>
              <w:t xml:space="preserve">Nilai</w:t>
            </w:r>
          </w:p>
        </w:tc>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Formula</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CAC</w:t>
            </w:r>
          </w:p>
        </w:tc>
        <w:tc>
          <w:tcPr>
            <w:tcW w:type="dxa" w:w="2800"/>
            <w:tcMar>
              <w:top w:type="dxa" w:w="80"/>
              <w:left w:type="dxa" w:w="100"/>
              <w:bottom w:type="dxa" w:w="80"/>
              <w:right w:type="dxa" w:w="100"/>
            </w:tcMar>
            <w:vAlign w:val="center"/>
          </w:tcPr>
          <w:p>
            <w:pPr>
              <w:jc w:val="left"/>
            </w:pPr>
            <w:r>
              <w:rPr>
                <w:b w:val="false"/>
                <w:bCs w:val="false"/>
                <w:sz w:val="20"/>
                <w:szCs w:val="20"/>
              </w:rPr>
              <w:t xml:space="preserve">Rp4.000 / UMKM</w:t>
            </w:r>
          </w:p>
        </w:tc>
        <w:tc>
          <w:tcPr>
            <w:tcW w:type="dxa" w:w="4200"/>
            <w:tcMar>
              <w:top w:type="dxa" w:w="80"/>
              <w:left w:type="dxa" w:w="100"/>
              <w:bottom w:type="dxa" w:w="80"/>
              <w:right w:type="dxa" w:w="100"/>
            </w:tcMar>
            <w:vAlign w:val="center"/>
          </w:tcPr>
          <w:p>
            <w:pPr>
              <w:jc w:val="left"/>
            </w:pPr>
            <w:r>
              <w:rPr>
                <w:b w:val="false"/>
                <w:bCs w:val="false"/>
                <w:sz w:val="20"/>
                <w:szCs w:val="20"/>
              </w:rPr>
              <w:t xml:space="preserve">Rp200.000 modal lobi ÷ 50 klien per konsultan</w:t>
            </w:r>
          </w:p>
        </w:tc>
      </w:tr>
      <w:tr>
        <w:tc>
          <w:tcPr>
            <w:tcW w:type="dxa" w:w="2800"/>
            <w:shd w:fill="F2F6FA" w:val="clear"/>
            <w:tcMar>
              <w:top w:type="dxa" w:w="80"/>
              <w:left w:type="dxa" w:w="100"/>
              <w:bottom w:type="dxa" w:w="80"/>
              <w:right w:type="dxa" w:w="100"/>
            </w:tcMar>
            <w:vAlign w:val="center"/>
          </w:tcPr>
          <w:p>
            <w:pPr>
              <w:jc w:val="left"/>
            </w:pPr>
            <w:r>
              <w:rPr>
                <w:b w:val="false"/>
                <w:bCs w:val="false"/>
                <w:sz w:val="20"/>
                <w:szCs w:val="20"/>
              </w:rPr>
              <w:t xml:space="preserve">LTV</w:t>
            </w:r>
          </w:p>
        </w:tc>
        <w:tc>
          <w:tcPr>
            <w:tcW w:type="dxa" w:w="2800"/>
            <w:shd w:fill="F2F6FA" w:val="clear"/>
            <w:tcMar>
              <w:top w:type="dxa" w:w="80"/>
              <w:left w:type="dxa" w:w="100"/>
              <w:bottom w:type="dxa" w:w="80"/>
              <w:right w:type="dxa" w:w="100"/>
            </w:tcMar>
            <w:vAlign w:val="center"/>
          </w:tcPr>
          <w:p>
            <w:pPr>
              <w:jc w:val="left"/>
            </w:pPr>
            <w:r>
              <w:rPr>
                <w:b w:val="false"/>
                <w:bCs w:val="false"/>
                <w:sz w:val="20"/>
                <w:szCs w:val="20"/>
              </w:rPr>
              <w:t xml:space="preserve">Rp1.200.000 / UMKM</w:t>
            </w:r>
          </w:p>
        </w:tc>
        <w:tc>
          <w:tcPr>
            <w:tcW w:type="dxa" w:w="4200"/>
            <w:shd w:fill="F2F6FA" w:val="clear"/>
            <w:tcMar>
              <w:top w:type="dxa" w:w="80"/>
              <w:left w:type="dxa" w:w="100"/>
              <w:bottom w:type="dxa" w:w="80"/>
              <w:right w:type="dxa" w:w="100"/>
            </w:tcMar>
            <w:vAlign w:val="center"/>
          </w:tcPr>
          <w:p>
            <w:pPr>
              <w:jc w:val="left"/>
            </w:pPr>
            <w:r>
              <w:rPr>
                <w:b w:val="false"/>
                <w:bCs w:val="false"/>
                <w:sz w:val="20"/>
                <w:szCs w:val="20"/>
              </w:rPr>
              <w:t xml:space="preserve">24 bulan × Rp50.000 ARPU</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Rasio LTV : CAC</w:t>
            </w:r>
          </w:p>
        </w:tc>
        <w:tc>
          <w:tcPr>
            <w:tcW w:type="dxa" w:w="2800"/>
            <w:tcMar>
              <w:top w:type="dxa" w:w="80"/>
              <w:left w:type="dxa" w:w="100"/>
              <w:bottom w:type="dxa" w:w="80"/>
              <w:right w:type="dxa" w:w="100"/>
            </w:tcMar>
            <w:vAlign w:val="center"/>
          </w:tcPr>
          <w:p>
            <w:pPr>
              <w:jc w:val="left"/>
            </w:pPr>
            <w:r>
              <w:rPr>
                <w:b w:val="false"/>
                <w:bCs w:val="false"/>
                <w:sz w:val="20"/>
                <w:szCs w:val="20"/>
              </w:rPr>
              <w:t xml:space="preserve">300 : 1</w:t>
            </w:r>
          </w:p>
        </w:tc>
        <w:tc>
          <w:tcPr>
            <w:tcW w:type="dxa" w:w="4200"/>
            <w:tcMar>
              <w:top w:type="dxa" w:w="80"/>
              <w:left w:type="dxa" w:w="100"/>
              <w:bottom w:type="dxa" w:w="80"/>
              <w:right w:type="dxa" w:w="100"/>
            </w:tcMar>
            <w:vAlign w:val="center"/>
          </w:tcPr>
          <w:p>
            <w:pPr>
              <w:jc w:val="left"/>
            </w:pPr>
            <w:r>
              <w:rPr>
                <w:b w:val="false"/>
                <w:bCs w:val="false"/>
                <w:sz w:val="20"/>
                <w:szCs w:val="20"/>
              </w:rPr>
              <w:t xml:space="preserve">vs standar ideal SaaS 3:1</w:t>
            </w:r>
          </w:p>
        </w:tc>
      </w:tr>
      <w:tr>
        <w:tc>
          <w:tcPr>
            <w:tcW w:type="dxa" w:w="2800"/>
            <w:shd w:fill="F2F6FA" w:val="clear"/>
            <w:tcMar>
              <w:top w:type="dxa" w:w="80"/>
              <w:left w:type="dxa" w:w="100"/>
              <w:bottom w:type="dxa" w:w="80"/>
              <w:right w:type="dxa" w:w="100"/>
            </w:tcMar>
            <w:vAlign w:val="center"/>
          </w:tcPr>
          <w:p>
            <w:pPr>
              <w:jc w:val="left"/>
            </w:pPr>
            <w:r>
              <w:rPr>
                <w:b w:val="false"/>
                <w:bCs w:val="false"/>
                <w:sz w:val="20"/>
                <w:szCs w:val="20"/>
              </w:rPr>
              <w:t xml:space="preserve">Gross Margin</w:t>
            </w:r>
          </w:p>
        </w:tc>
        <w:tc>
          <w:tcPr>
            <w:tcW w:type="dxa" w:w="2800"/>
            <w:shd w:fill="F2F6FA" w:val="clear"/>
            <w:tcMar>
              <w:top w:type="dxa" w:w="80"/>
              <w:left w:type="dxa" w:w="100"/>
              <w:bottom w:type="dxa" w:w="80"/>
              <w:right w:type="dxa" w:w="100"/>
            </w:tcMar>
            <w:vAlign w:val="center"/>
          </w:tcPr>
          <w:p>
            <w:pPr>
              <w:jc w:val="left"/>
            </w:pPr>
            <w:r>
              <w:rPr>
                <w:b w:val="false"/>
                <w:bCs w:val="false"/>
                <w:sz w:val="20"/>
                <w:szCs w:val="20"/>
              </w:rPr>
              <w:t xml:space="preserve">&gt; 80%</w:t>
            </w:r>
          </w:p>
        </w:tc>
        <w:tc>
          <w:tcPr>
            <w:tcW w:type="dxa" w:w="4200"/>
            <w:shd w:fill="F2F6FA" w:val="clear"/>
            <w:tcMar>
              <w:top w:type="dxa" w:w="80"/>
              <w:left w:type="dxa" w:w="100"/>
              <w:bottom w:type="dxa" w:w="80"/>
              <w:right w:type="dxa" w:w="100"/>
            </w:tcMar>
            <w:vAlign w:val="center"/>
          </w:tcPr>
          <w:p>
            <w:pPr>
              <w:jc w:val="left"/>
            </w:pPr>
            <w:r>
              <w:rPr>
                <w:b w:val="false"/>
                <w:bCs w:val="false"/>
                <w:sz w:val="20"/>
                <w:szCs w:val="20"/>
              </w:rPr>
              <w:t xml:space="preserve">(MRR − COGS) / MRR</w:t>
            </w:r>
          </w:p>
        </w:tc>
      </w:tr>
    </w:tbl>
    <w:p>
      <w:pPr>
        <w:pStyle w:val="Heading1"/>
        <w:spacing w:after="160" w:before="360"/>
      </w:pPr>
      <w:r>
        <w:t xml:space="preserve">3. Target Pengguna &amp; Persona</w:t>
      </w:r>
    </w:p>
    <w:p>
      <w:pPr>
        <w:pStyle w:val="Heading2"/>
        <w:spacing w:after="120" w:before="260"/>
      </w:pPr>
      <w:r>
        <w:t xml:space="preserve">3.1 Persona A — UMKM Mikro Mandiri</w:t>
      </w:r>
    </w:p>
    <w:p>
      <w:pPr>
        <w:pStyle w:val="ListParagraph"/>
        <w:numPr>
          <w:ilvl w:val="0"/>
          <w:numId w:val="2"/>
        </w:numPr>
        <w:spacing w:after="80" w:line="276"/>
      </w:pPr>
      <w:r>
        <w:t xml:space="preserve">Profil: pemilik warung, toko ritel, jasa rumahan; literasi teknologi menengah, waktu operasional terbatas.</w:t>
      </w:r>
    </w:p>
    <w:p>
      <w:pPr>
        <w:pStyle w:val="ListParagraph"/>
        <w:numPr>
          <w:ilvl w:val="0"/>
          <w:numId w:val="2"/>
        </w:numPr>
        <w:spacing w:after="80" w:line="276"/>
      </w:pPr>
      <w:r>
        <w:t xml:space="preserve">Kebutuhan inti: mencatat transaksi secepat mungkin tanpa belajar aplikasi/istilah akuntansi baru; mengetahui posisi omzet vs batas bebas pajak; menghindari denda; punya dokumen valid untuk pengajuan KUR.</w:t>
      </w:r>
    </w:p>
    <w:p>
      <w:pPr>
        <w:pStyle w:val="ListParagraph"/>
        <w:numPr>
          <w:ilvl w:val="0"/>
          <w:numId w:val="2"/>
        </w:numPr>
        <w:spacing w:after="80" w:line="276"/>
      </w:pPr>
      <w:r>
        <w:t xml:space="preserve">Kanal utama: WhatsApp (day-to-day), Web Dashboard (review &amp; unduh dokumen).</w:t>
      </w:r>
    </w:p>
    <w:p>
      <w:pPr>
        <w:pStyle w:val="Heading2"/>
        <w:spacing w:after="120" w:before="260"/>
      </w:pPr>
      <w:r>
        <w:t xml:space="preserve">3.2 Persona B — Konsultan Pajak Independen (B2B Channel Partner)</w:t>
      </w:r>
    </w:p>
    <w:p>
      <w:pPr>
        <w:pStyle w:val="ListParagraph"/>
        <w:numPr>
          <w:ilvl w:val="0"/>
          <w:numId w:val="2"/>
        </w:numPr>
        <w:spacing w:after="80" w:line="276"/>
      </w:pPr>
      <w:r>
        <w:t xml:space="preserve">Profil: akuntan/konsultan pajak berlisensi yang membina 20–50 klien UMKM sekaligus.</w:t>
      </w:r>
    </w:p>
    <w:p>
      <w:pPr>
        <w:pStyle w:val="ListParagraph"/>
        <w:numPr>
          <w:ilvl w:val="0"/>
          <w:numId w:val="2"/>
        </w:numPr>
        <w:spacing w:after="80" w:line="276"/>
      </w:pPr>
      <w:r>
        <w:t xml:space="preserve">Kebutuhan inti: mengawasi kepatuhan puluhan klien dalam satu layar (bird's-eye view), mengekspor laporan massal, menambah klien baru tanpa proses onboarding yang rumit, dan menjaga isolasi data antar klien/konsultan lain.</w:t>
      </w:r>
    </w:p>
    <w:p>
      <w:pPr>
        <w:pStyle w:val="ListParagraph"/>
        <w:numPr>
          <w:ilvl w:val="0"/>
          <w:numId w:val="2"/>
        </w:numPr>
        <w:spacing w:after="80" w:line="276"/>
      </w:pPr>
      <w:r>
        <w:t xml:space="preserve">Kanal utama: Web Dashboard (Portal B2B Agency).</w:t>
      </w:r>
    </w:p>
    <w:p>
      <w:pPr>
        <w:pStyle w:val="Heading1"/>
        <w:spacing w:after="160" w:before="360"/>
      </w:pPr>
      <w:r>
        <w:t xml:space="preserve">4. Ruang Lingkup Produk (Scope)</w:t>
      </w:r>
    </w:p>
    <w:p>
      <w:pPr>
        <w:pStyle w:val="Heading2"/>
        <w:spacing w:after="120" w:before="260"/>
      </w:pPr>
      <w:r>
        <w:t xml:space="preserve">4.1 In-Scope — MVP Beta (Bulan 1–6)</w:t>
      </w:r>
    </w:p>
    <w:p>
      <w:pPr>
        <w:pStyle w:val="ListParagraph"/>
        <w:numPr>
          <w:ilvl w:val="0"/>
          <w:numId w:val="2"/>
        </w:numPr>
        <w:spacing w:after="80" w:line="276"/>
      </w:pPr>
      <w:r>
        <w:t xml:space="preserve">Pencatatan transaksi via WhatsApp (format teks terstruktur) dengan parsing Regex deterministik.</w:t>
      </w:r>
    </w:p>
    <w:p>
      <w:pPr>
        <w:pStyle w:val="ListParagraph"/>
        <w:numPr>
          <w:ilvl w:val="0"/>
          <w:numId w:val="2"/>
        </w:numPr>
        <w:spacing w:after="80" w:line="276"/>
      </w:pPr>
      <w:r>
        <w:t xml:space="preserve">Deterministic Rule-Based Tax Engine untuk kalkulasi PPh Final 0,5% sesuai PP 55/2022.</w:t>
      </w:r>
    </w:p>
    <w:p>
      <w:pPr>
        <w:pStyle w:val="ListParagraph"/>
        <w:numPr>
          <w:ilvl w:val="0"/>
          <w:numId w:val="2"/>
        </w:numPr>
        <w:spacing w:after="80" w:line="276"/>
      </w:pPr>
      <w:r>
        <w:t xml:space="preserve">Immutable audit trail berbasis hash chaining (SHA-256).</w:t>
      </w:r>
    </w:p>
    <w:p>
      <w:pPr>
        <w:pStyle w:val="ListParagraph"/>
        <w:numPr>
          <w:ilvl w:val="0"/>
          <w:numId w:val="2"/>
        </w:numPr>
        <w:spacing w:after="80" w:line="276"/>
      </w:pPr>
      <w:r>
        <w:t xml:space="preserve">Generator dokumen Draf SPT (.PDF/.CSV) yang dikirim kembali via WhatsApp.</w:t>
      </w:r>
    </w:p>
    <w:p>
      <w:pPr>
        <w:pStyle w:val="ListParagraph"/>
        <w:numPr>
          <w:ilvl w:val="0"/>
          <w:numId w:val="2"/>
        </w:numPr>
        <w:spacing w:after="80" w:line="276"/>
      </w:pPr>
      <w:r>
        <w:t xml:space="preserve">Reminder otomatis berlapis H-7/H-3/H-1 dengan proteksi anti-spam.</w:t>
      </w:r>
    </w:p>
    <w:p>
      <w:pPr>
        <w:pStyle w:val="ListParagraph"/>
        <w:numPr>
          <w:ilvl w:val="0"/>
          <w:numId w:val="2"/>
        </w:numPr>
        <w:spacing w:after="80" w:line="276"/>
      </w:pPr>
      <w:r>
        <w:t xml:space="preserve">Web Dashboard dua tenant: Portal UMKM Mandiri dan Portal B2B Konsultan Pajak.</w:t>
      </w:r>
    </w:p>
    <w:p>
      <w:pPr>
        <w:pStyle w:val="ListParagraph"/>
        <w:numPr>
          <w:ilvl w:val="0"/>
          <w:numId w:val="2"/>
        </w:numPr>
        <w:spacing w:after="80" w:line="276"/>
      </w:pPr>
      <w:r>
        <w:t xml:space="preserve">Onboarding klien 1-Click Connect via WhatsApp untuk konsultan.</w:t>
      </w:r>
    </w:p>
    <w:p>
      <w:pPr>
        <w:pStyle w:val="ListParagraph"/>
        <w:numPr>
          <w:ilvl w:val="0"/>
          <w:numId w:val="2"/>
        </w:numPr>
        <w:spacing w:after="80" w:line="276"/>
      </w:pPr>
      <w:r>
        <w:t xml:space="preserve">Batch export laporan (ZIP) untuk konsultan.</w:t>
      </w:r>
    </w:p>
    <w:p>
      <w:pPr>
        <w:pStyle w:val="ListParagraph"/>
        <w:numPr>
          <w:ilvl w:val="0"/>
          <w:numId w:val="2"/>
        </w:numPr>
        <w:spacing w:after="80" w:line="276"/>
      </w:pPr>
      <w:r>
        <w:t xml:space="preserve">Multi-tenancy dengan isolasi PostgreSQL Row-Level Security.</w:t>
      </w:r>
    </w:p>
    <w:p>
      <w:pPr>
        <w:pStyle w:val="Heading2"/>
        <w:spacing w:after="120" w:before="260"/>
      </w:pPr>
      <w:r>
        <w:t xml:space="preserve">4.2 Out of Scope — No-Goes (Ditunda/Dibatalkan dari MVP)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4600"/>
      </w:tblGrid>
      <w:tr>
        <w:trPr>
          <w:tblHeader/>
        </w:trP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Fitur</w:t>
            </w:r>
          </w:p>
        </w:tc>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Status</w:t>
            </w:r>
          </w:p>
        </w:tc>
        <w:tc>
          <w:tcPr>
            <w:tcW w:type="dxa" w:w="4600"/>
            <w:shd w:fill="1F3864" w:val="clear"/>
            <w:tcMar>
              <w:top w:type="dxa" w:w="80"/>
              <w:left w:type="dxa" w:w="100"/>
              <w:bottom w:type="dxa" w:w="80"/>
              <w:right w:type="dxa" w:w="100"/>
            </w:tcMar>
            <w:vAlign w:val="center"/>
          </w:tcPr>
          <w:p>
            <w:pPr>
              <w:jc w:val="left"/>
            </w:pPr>
            <w:r>
              <w:rPr>
                <w:b/>
                <w:bCs/>
                <w:color w:val="FFFFFF"/>
                <w:sz w:val="20"/>
                <w:szCs w:val="20"/>
              </w:rPr>
              <w:t xml:space="preserve">Alasan</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AI Tax Assistant / Integrasi LLM</w:t>
            </w:r>
          </w:p>
        </w:tc>
        <w:tc>
          <w:tcPr>
            <w:tcW w:type="dxa" w:w="2000"/>
            <w:tcMar>
              <w:top w:type="dxa" w:w="80"/>
              <w:left w:type="dxa" w:w="100"/>
              <w:bottom w:type="dxa" w:w="80"/>
              <w:right w:type="dxa" w:w="100"/>
            </w:tcMar>
            <w:vAlign w:val="center"/>
          </w:tcPr>
          <w:p>
            <w:pPr>
              <w:jc w:val="left"/>
            </w:pPr>
            <w:r>
              <w:rPr>
                <w:b w:val="false"/>
                <w:bCs w:val="false"/>
                <w:sz w:val="20"/>
                <w:szCs w:val="20"/>
              </w:rPr>
              <w:t xml:space="preserve">DIBATALKAN total</w:t>
            </w:r>
          </w:p>
        </w:tc>
        <w:tc>
          <w:tcPr>
            <w:tcW w:type="dxa" w:w="4600"/>
            <w:tcMar>
              <w:top w:type="dxa" w:w="80"/>
              <w:left w:type="dxa" w:w="100"/>
              <w:bottom w:type="dxa" w:w="80"/>
              <w:right w:type="dxa" w:w="100"/>
            </w:tcMar>
            <w:vAlign w:val="center"/>
          </w:tcPr>
          <w:p>
            <w:pPr>
              <w:jc w:val="left"/>
            </w:pPr>
            <w:r>
              <w:rPr>
                <w:b w:val="false"/>
                <w:bCs w:val="false"/>
                <w:sz w:val="20"/>
                <w:szCs w:val="20"/>
              </w:rPr>
              <w:t xml:space="preserve">Risiko ketidakpastian matematis, biaya token, potensi halusinasi hukum pajak — digantikan Deterministic Rule-Based Tax Engine</w:t>
            </w:r>
          </w:p>
        </w:tc>
      </w:tr>
      <w:tr>
        <w:tc>
          <w:tcPr>
            <w:tcW w:type="dxa" w:w="4200"/>
            <w:shd w:fill="F2F6FA" w:val="clear"/>
            <w:tcMar>
              <w:top w:type="dxa" w:w="80"/>
              <w:left w:type="dxa" w:w="100"/>
              <w:bottom w:type="dxa" w:w="80"/>
              <w:right w:type="dxa" w:w="100"/>
            </w:tcMar>
            <w:vAlign w:val="center"/>
          </w:tcPr>
          <w:p>
            <w:pPr>
              <w:jc w:val="left"/>
            </w:pPr>
            <w:r>
              <w:rPr>
                <w:b w:val="false"/>
                <w:bCs w:val="false"/>
                <w:sz w:val="20"/>
                <w:szCs w:val="20"/>
              </w:rPr>
              <w:t xml:space="preserve">OCR Scanner Struk &amp; Nota Fisik</w:t>
            </w:r>
          </w:p>
        </w:tc>
        <w:tc>
          <w:tcPr>
            <w:tcW w:type="dxa" w:w="2000"/>
            <w:shd w:fill="F2F6FA" w:val="clear"/>
            <w:tcMar>
              <w:top w:type="dxa" w:w="80"/>
              <w:left w:type="dxa" w:w="100"/>
              <w:bottom w:type="dxa" w:w="80"/>
              <w:right w:type="dxa" w:w="100"/>
            </w:tcMar>
            <w:vAlign w:val="center"/>
          </w:tcPr>
          <w:p>
            <w:pPr>
              <w:jc w:val="left"/>
            </w:pPr>
            <w:r>
              <w:rPr>
                <w:b w:val="false"/>
                <w:bCs w:val="false"/>
                <w:sz w:val="20"/>
                <w:szCs w:val="20"/>
              </w:rPr>
              <w:t xml:space="preserve">DITUNDA</w:t>
            </w:r>
          </w:p>
        </w:tc>
        <w:tc>
          <w:tcPr>
            <w:tcW w:type="dxa" w:w="4600"/>
            <w:shd w:fill="F2F6FA" w:val="clear"/>
            <w:tcMar>
              <w:top w:type="dxa" w:w="80"/>
              <w:left w:type="dxa" w:w="100"/>
              <w:bottom w:type="dxa" w:w="80"/>
              <w:right w:type="dxa" w:w="100"/>
            </w:tcMar>
            <w:vAlign w:val="center"/>
          </w:tcPr>
          <w:p>
            <w:pPr>
              <w:jc w:val="left"/>
            </w:pPr>
            <w:r>
              <w:rPr>
                <w:b w:val="false"/>
                <w:bCs w:val="false"/>
                <w:sz w:val="20"/>
                <w:szCs w:val="20"/>
              </w:rPr>
              <w:t xml:space="preserve">Error rate tinggi untuk nota lecek/tulisan tangan; menambah kompleksitas tanpa efisiensi nyata di tahap awal</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Integrasi API Marketplace (Shopee, Tokopedia, TikTok Shop)</w:t>
            </w:r>
          </w:p>
        </w:tc>
        <w:tc>
          <w:tcPr>
            <w:tcW w:type="dxa" w:w="2000"/>
            <w:tcMar>
              <w:top w:type="dxa" w:w="80"/>
              <w:left w:type="dxa" w:w="100"/>
              <w:bottom w:type="dxa" w:w="80"/>
              <w:right w:type="dxa" w:w="100"/>
            </w:tcMar>
            <w:vAlign w:val="center"/>
          </w:tcPr>
          <w:p>
            <w:pPr>
              <w:jc w:val="left"/>
            </w:pPr>
            <w:r>
              <w:rPr>
                <w:b w:val="false"/>
                <w:bCs w:val="false"/>
                <w:sz w:val="20"/>
                <w:szCs w:val="20"/>
              </w:rPr>
              <w:t xml:space="preserve">DITUNDA</w:t>
            </w:r>
          </w:p>
        </w:tc>
        <w:tc>
          <w:tcPr>
            <w:tcW w:type="dxa" w:w="4600"/>
            <w:tcMar>
              <w:top w:type="dxa" w:w="80"/>
              <w:left w:type="dxa" w:w="100"/>
              <w:bottom w:type="dxa" w:w="80"/>
              <w:right w:type="dxa" w:w="100"/>
            </w:tcMar>
            <w:vAlign w:val="center"/>
          </w:tcPr>
          <w:p>
            <w:pPr>
              <w:jc w:val="left"/>
            </w:pPr>
            <w:r>
              <w:rPr>
                <w:b w:val="false"/>
                <w:bCs w:val="false"/>
                <w:sz w:val="20"/>
                <w:szCs w:val="20"/>
              </w:rPr>
              <w:t xml:space="preserve">Perizinan API pihak ketiga rumit, token sering putus, menambah biaya server</w:t>
            </w:r>
          </w:p>
        </w:tc>
      </w:tr>
    </w:tbl>
    <w:p>
      <w:pPr>
        <w:pStyle w:val="Heading1"/>
        <w:spacing w:after="160" w:before="360"/>
      </w:pPr>
      <w:r>
        <w:t xml:space="preserve">5. Arsitektur Sistem &amp; Tech Stack</w:t>
      </w:r>
    </w:p>
    <w:p>
      <w:pPr>
        <w:spacing w:after="160" w:line="276"/>
      </w:pPr>
      <w:r>
        <w:t xml:space="preserve">Metodologi kerja tim developer adalah Vertical Feature Slicing / Modular Monolith — setiap developer memegang end-to-end domain ownership (database, backend, worker, hingga UI) atas satu ekosistem fitur, untuk menghindari bottleneck saling menunggu antara frontend dan backend.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6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Komponen</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Teknologi</w:t>
            </w:r>
          </w:p>
        </w:tc>
        <w:tc>
          <w:tcPr>
            <w:tcW w:type="dxa" w:w="5600"/>
            <w:shd w:fill="1F3864" w:val="clear"/>
            <w:tcMar>
              <w:top w:type="dxa" w:w="80"/>
              <w:left w:type="dxa" w:w="100"/>
              <w:bottom w:type="dxa" w:w="80"/>
              <w:right w:type="dxa" w:w="100"/>
            </w:tcMar>
            <w:vAlign w:val="center"/>
          </w:tcPr>
          <w:p>
            <w:pPr>
              <w:jc w:val="left"/>
            </w:pPr>
            <w:r>
              <w:rPr>
                <w:b/>
                <w:bCs/>
                <w:color w:val="FFFFFF"/>
                <w:sz w:val="20"/>
                <w:szCs w:val="20"/>
              </w:rPr>
              <w:t xml:space="preserve">Rasionalisasi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Backend Core API &amp; Tax Engine</w:t>
            </w:r>
          </w:p>
        </w:tc>
        <w:tc>
          <w:tcPr>
            <w:tcW w:type="dxa" w:w="2600"/>
            <w:tcMar>
              <w:top w:type="dxa" w:w="80"/>
              <w:left w:type="dxa" w:w="100"/>
              <w:bottom w:type="dxa" w:w="80"/>
              <w:right w:type="dxa" w:w="100"/>
            </w:tcMar>
            <w:vAlign w:val="center"/>
          </w:tcPr>
          <w:p>
            <w:pPr>
              <w:jc w:val="left"/>
            </w:pPr>
            <w:r>
              <w:rPr>
                <w:b w:val="false"/>
                <w:bCs w:val="false"/>
                <w:sz w:val="20"/>
                <w:szCs w:val="20"/>
              </w:rPr>
              <w:t xml:space="preserve">Golang, Modular Monolith</w:t>
            </w:r>
          </w:p>
        </w:tc>
        <w:tc>
          <w:tcPr>
            <w:tcW w:type="dxa" w:w="5600"/>
            <w:tcMar>
              <w:top w:type="dxa" w:w="80"/>
              <w:left w:type="dxa" w:w="100"/>
              <w:bottom w:type="dxa" w:w="80"/>
              <w:right w:type="dxa" w:w="100"/>
            </w:tcMar>
            <w:vAlign w:val="center"/>
          </w:tcPr>
          <w:p>
            <w:pPr>
              <w:jc w:val="left"/>
            </w:pPr>
            <w:r>
              <w:rPr>
                <w:b w:val="false"/>
                <w:bCs w:val="false"/>
                <w:sz w:val="20"/>
                <w:szCs w:val="20"/>
              </w:rPr>
              <w:t xml:space="preserve">Konkurensi tinggi (goroutines), biner cepat, konsumsi memori rendah untuk memproses ribuan webhook WhatsApp bersamaan</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Frontend Web Dashboard</w:t>
            </w:r>
          </w:p>
        </w:tc>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Next.js + Tailwind CSS</w:t>
            </w:r>
          </w:p>
        </w:tc>
        <w:tc>
          <w:tcPr>
            <w:tcW w:type="dxa" w:w="5600"/>
            <w:shd w:fill="F2F6FA" w:val="clear"/>
            <w:tcMar>
              <w:top w:type="dxa" w:w="80"/>
              <w:left w:type="dxa" w:w="100"/>
              <w:bottom w:type="dxa" w:w="80"/>
              <w:right w:type="dxa" w:w="100"/>
            </w:tcMar>
            <w:vAlign w:val="center"/>
          </w:tcPr>
          <w:p>
            <w:pPr>
              <w:jc w:val="left"/>
            </w:pPr>
            <w:r>
              <w:rPr>
                <w:b w:val="false"/>
                <w:bCs w:val="false"/>
                <w:sz w:val="20"/>
                <w:szCs w:val="20"/>
              </w:rPr>
              <w:t xml:space="preserve">SSG/SSR untuk rendering cepat; Tailwind untuk konsistensi UI dua-tenant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Database</w:t>
            </w:r>
          </w:p>
        </w:tc>
        <w:tc>
          <w:tcPr>
            <w:tcW w:type="dxa" w:w="2600"/>
            <w:tcMar>
              <w:top w:type="dxa" w:w="80"/>
              <w:left w:type="dxa" w:w="100"/>
              <w:bottom w:type="dxa" w:w="80"/>
              <w:right w:type="dxa" w:w="100"/>
            </w:tcMar>
            <w:vAlign w:val="center"/>
          </w:tcPr>
          <w:p>
            <w:pPr>
              <w:jc w:val="left"/>
            </w:pPr>
            <w:r>
              <w:rPr>
                <w:b w:val="false"/>
                <w:bCs w:val="false"/>
                <w:sz w:val="20"/>
                <w:szCs w:val="20"/>
              </w:rPr>
              <w:t xml:space="preserve">PostgreSQL + Row-Level Security</w:t>
            </w:r>
          </w:p>
        </w:tc>
        <w:tc>
          <w:tcPr>
            <w:tcW w:type="dxa" w:w="5600"/>
            <w:tcMar>
              <w:top w:type="dxa" w:w="80"/>
              <w:left w:type="dxa" w:w="100"/>
              <w:bottom w:type="dxa" w:w="80"/>
              <w:right w:type="dxa" w:w="100"/>
            </w:tcMar>
            <w:vAlign w:val="center"/>
          </w:tcPr>
          <w:p>
            <w:pPr>
              <w:jc w:val="left"/>
            </w:pPr>
            <w:r>
              <w:rPr>
                <w:b w:val="false"/>
                <w:bCs w:val="false"/>
                <w:sz w:val="20"/>
                <w:szCs w:val="20"/>
              </w:rPr>
              <w:t xml:space="preserve">NUMERIC presisi tinggi mencegah galat pembulatan; RLS untuk isolasi data antar-tenant di level database</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Asynchronous Pipeline</w:t>
            </w:r>
          </w:p>
        </w:tc>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Redis Queue + Background Workers</w:t>
            </w:r>
          </w:p>
        </w:tc>
        <w:tc>
          <w:tcPr>
            <w:tcW w:type="dxa" w:w="5600"/>
            <w:shd w:fill="F2F6FA" w:val="clear"/>
            <w:tcMar>
              <w:top w:type="dxa" w:w="80"/>
              <w:left w:type="dxa" w:w="100"/>
              <w:bottom w:type="dxa" w:w="80"/>
              <w:right w:type="dxa" w:w="100"/>
            </w:tcMar>
            <w:vAlign w:val="center"/>
          </w:tcPr>
          <w:p>
            <w:pPr>
              <w:jc w:val="left"/>
            </w:pPr>
            <w:r>
              <w:rPr>
                <w:b w:val="false"/>
                <w:bCs w:val="false"/>
                <w:sz w:val="20"/>
                <w:szCs w:val="20"/>
              </w:rPr>
              <w:t xml:space="preserve">Memisahkan tugas berat (generate PDF, broadcast notifikasi) dari server utama agar tidak timeout/downtime</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API Gateway Messaging</w:t>
            </w:r>
          </w:p>
        </w:tc>
        <w:tc>
          <w:tcPr>
            <w:tcW w:type="dxa" w:w="2600"/>
            <w:tcMar>
              <w:top w:type="dxa" w:w="80"/>
              <w:left w:type="dxa" w:w="100"/>
              <w:bottom w:type="dxa" w:w="80"/>
              <w:right w:type="dxa" w:w="100"/>
            </w:tcMar>
            <w:vAlign w:val="center"/>
          </w:tcPr>
          <w:p>
            <w:pPr>
              <w:jc w:val="left"/>
            </w:pPr>
            <w:r>
              <w:rPr>
                <w:b w:val="false"/>
                <w:bCs w:val="false"/>
                <w:sz w:val="20"/>
                <w:szCs w:val="20"/>
              </w:rPr>
              <w:t xml:space="preserve">WAHA (WhatsApp HTTP API), Dual-Engine</w:t>
            </w:r>
          </w:p>
        </w:tc>
        <w:tc>
          <w:tcPr>
            <w:tcW w:type="dxa" w:w="5600"/>
            <w:tcMar>
              <w:top w:type="dxa" w:w="80"/>
              <w:left w:type="dxa" w:w="100"/>
              <w:bottom w:type="dxa" w:w="80"/>
              <w:right w:type="dxa" w:w="100"/>
            </w:tcMar>
            <w:vAlign w:val="center"/>
          </w:tcPr>
          <w:p>
            <w:pPr>
              <w:jc w:val="left"/>
            </w:pPr>
            <w:r>
              <w:rPr>
                <w:b w:val="false"/>
                <w:bCs w:val="false"/>
                <w:sz w:val="20"/>
                <w:szCs w:val="20"/>
              </w:rPr>
              <w:t xml:space="preserve">Jembatan Golang ↔ WhatsApp; mendukung transisi Baileys (gratis, fase beta) → Meta Cloud API (resmi, fase scaling) tanpa refactor kode</w:t>
            </w:r>
          </w:p>
        </w:tc>
      </w:tr>
    </w:tbl>
    <w:p>
      <w:pPr>
        <w:pStyle w:val="Heading2"/>
        <w:spacing w:after="120" w:before="260"/>
      </w:pPr>
      <w:r>
        <w:t xml:space="preserve">5.1 Mengapa Menolak AI untuk Kalkulasi Pajak</w:t>
      </w:r>
    </w:p>
    <w:p>
      <w:pPr>
        <w:spacing w:after="160" w:line="276"/>
      </w:pPr>
      <w:r>
        <w:t xml:space="preserve">Pajakin.id secara sadar menolak AI/LLM probabilistik untuk Tax Engine karena toleransi kesalahan dalam perpajakan dan audit perbankan adalah nol mutlak. Sebagai gantinya, sistem menggunakan Deterministic Rule-Based Tax Engine di Golang yang membaca parameter PP 55/2022 secara pasti, memakai Regex untuk membedakan omzet kena pajak dan transaksi non-fiskal, serta hash chaining untuk audit trail yang immutable.</w:t>
      </w:r>
    </w:p>
    <w:p>
      <w:pPr>
        <w:pStyle w:val="Heading2"/>
        <w:spacing w:after="120" w:before="260"/>
      </w:pPr>
      <w:r>
        <w:t xml:space="preserve">5.2 Strategi Dual-Engine WAHA</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540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Fase</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Mesin</w:t>
            </w:r>
          </w:p>
        </w:tc>
        <w:tc>
          <w:tcPr>
            <w:tcW w:type="dxa" w:w="5400"/>
            <w:shd w:fill="1F3864" w:val="clear"/>
            <w:tcMar>
              <w:top w:type="dxa" w:w="80"/>
              <w:left w:type="dxa" w:w="100"/>
              <w:bottom w:type="dxa" w:w="80"/>
              <w:right w:type="dxa" w:w="100"/>
            </w:tcMar>
            <w:vAlign w:val="center"/>
          </w:tcPr>
          <w:p>
            <w:pPr>
              <w:jc w:val="left"/>
            </w:pPr>
            <w:r>
              <w:rPr>
                <w:b/>
                <w:bCs/>
                <w:color w:val="FFFFFF"/>
                <w:sz w:val="20"/>
                <w:szCs w:val="20"/>
              </w:rPr>
              <w:t xml:space="preserve">Karakteristik</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MVP &amp; Beta (Bulan 1–6)</w:t>
            </w:r>
          </w:p>
        </w:tc>
        <w:tc>
          <w:tcPr>
            <w:tcW w:type="dxa" w:w="3200"/>
            <w:tcMar>
              <w:top w:type="dxa" w:w="80"/>
              <w:left w:type="dxa" w:w="100"/>
              <w:bottom w:type="dxa" w:w="80"/>
              <w:right w:type="dxa" w:w="100"/>
            </w:tcMar>
            <w:vAlign w:val="center"/>
          </w:tcPr>
          <w:p>
            <w:pPr>
              <w:jc w:val="left"/>
            </w:pPr>
            <w:r>
              <w:rPr>
                <w:b w:val="false"/>
                <w:bCs w:val="false"/>
                <w:sz w:val="20"/>
                <w:szCs w:val="20"/>
              </w:rPr>
              <w:t xml:space="preserve">Unofficial (Baileys/Web)</w:t>
            </w:r>
          </w:p>
        </w:tc>
        <w:tc>
          <w:tcPr>
            <w:tcW w:type="dxa" w:w="5400"/>
            <w:tcMar>
              <w:top w:type="dxa" w:w="80"/>
              <w:left w:type="dxa" w:w="100"/>
              <w:bottom w:type="dxa" w:w="80"/>
              <w:right w:type="dxa" w:w="100"/>
            </w:tcMar>
            <w:vAlign w:val="center"/>
          </w:tcPr>
          <w:p>
            <w:pPr>
              <w:jc w:val="left"/>
            </w:pPr>
            <w:r>
              <w:rPr>
                <w:b w:val="false"/>
                <w:bCs w:val="false"/>
                <w:sz w:val="20"/>
                <w:szCs w:val="20"/>
              </w:rPr>
              <w:t xml:space="preserve">Gratis (bebas biaya per percakapan Meta), bebas iterasi Regex &amp; UX tanpa approval template pesan</w:t>
            </w:r>
          </w:p>
        </w:tc>
      </w:tr>
      <w:tr>
        <w:tc>
          <w:tcPr>
            <w:tcW w:type="dxa" w:w="3200"/>
            <w:shd w:fill="F2F6FA" w:val="clear"/>
            <w:tcMar>
              <w:top w:type="dxa" w:w="80"/>
              <w:left w:type="dxa" w:w="100"/>
              <w:bottom w:type="dxa" w:w="80"/>
              <w:right w:type="dxa" w:w="100"/>
            </w:tcMar>
            <w:vAlign w:val="center"/>
          </w:tcPr>
          <w:p>
            <w:pPr>
              <w:jc w:val="left"/>
            </w:pPr>
            <w:r>
              <w:rPr>
                <w:b w:val="false"/>
                <w:bCs w:val="false"/>
                <w:sz w:val="20"/>
                <w:szCs w:val="20"/>
              </w:rPr>
              <w:t xml:space="preserve">Scaling Komersial (Bulan 7–12)</w:t>
            </w:r>
          </w:p>
        </w:tc>
        <w:tc>
          <w:tcPr>
            <w:tcW w:type="dxa" w:w="3200"/>
            <w:shd w:fill="F2F6FA" w:val="clear"/>
            <w:tcMar>
              <w:top w:type="dxa" w:w="80"/>
              <w:left w:type="dxa" w:w="100"/>
              <w:bottom w:type="dxa" w:w="80"/>
              <w:right w:type="dxa" w:w="100"/>
            </w:tcMar>
            <w:vAlign w:val="center"/>
          </w:tcPr>
          <w:p>
            <w:pPr>
              <w:jc w:val="left"/>
            </w:pPr>
            <w:r>
              <w:rPr>
                <w:b w:val="false"/>
                <w:bCs w:val="false"/>
                <w:sz w:val="20"/>
                <w:szCs w:val="20"/>
              </w:rPr>
              <w:t xml:space="preserve">Official (Meta Cloud API)</w:t>
            </w:r>
          </w:p>
        </w:tc>
        <w:tc>
          <w:tcPr>
            <w:tcW w:type="dxa" w:w="5400"/>
            <w:shd w:fill="F2F6FA" w:val="clear"/>
            <w:tcMar>
              <w:top w:type="dxa" w:w="80"/>
              <w:left w:type="dxa" w:w="100"/>
              <w:bottom w:type="dxa" w:w="80"/>
              <w:right w:type="dxa" w:w="100"/>
            </w:tcMar>
            <w:vAlign w:val="center"/>
          </w:tcPr>
          <w:p>
            <w:pPr>
              <w:jc w:val="left"/>
            </w:pPr>
            <w:r>
              <w:rPr>
                <w:b w:val="false"/>
                <w:bCs w:val="false"/>
                <w:sz w:val="20"/>
                <w:szCs w:val="20"/>
              </w:rPr>
              <w:t xml:space="preserve">Diaktifkan cukup dengan mengubah environment variable — zero refactoring kode Golang; stabilitas enterprise-grade</w:t>
            </w:r>
          </w:p>
        </w:tc>
      </w:tr>
    </w:tbl>
    <w:p>
      <w:pPr>
        <w:pStyle w:val="Heading2"/>
        <w:spacing w:after="120" w:before="260"/>
      </w:pPr>
      <w:r>
        <w:t xml:space="preserve">5.3 Strategi Menembus Aturan Jendela 24 Jam Meta</w:t>
      </w:r>
    </w:p>
    <w:p>
      <w:pPr>
        <w:pStyle w:val="ListParagraph"/>
        <w:numPr>
          <w:ilvl w:val="0"/>
          <w:numId w:val="3"/>
        </w:numPr>
        <w:spacing w:after="80" w:line="276"/>
      </w:pPr>
      <w:r>
        <w:t xml:space="preserve">Pencatatan harian bersifat inisiatif pengguna (mengirim transaksi/minta laporan) — otomatis membuka jendela balasan bebas 24 jam.</w:t>
      </w:r>
    </w:p>
    <w:p>
      <w:pPr>
        <w:pStyle w:val="ListParagraph"/>
        <w:numPr>
          <w:ilvl w:val="0"/>
          <w:numId w:val="3"/>
        </w:numPr>
        <w:spacing w:after="80" w:line="276"/>
      </w:pPr>
      <w:r>
        <w:t xml:space="preserve">Notifikasi pengingat massal (H-7/H-3/H-1) bersifat inisiatif sistem — menggunakan Utility/Reminder Template resmi yang sudah disetujui Meta.</w:t>
      </w:r>
    </w:p>
    <w:p>
      <w:pPr>
        <w:pStyle w:val="ListParagraph"/>
        <w:numPr>
          <w:ilvl w:val="0"/>
          <w:numId w:val="3"/>
        </w:numPr>
        <w:spacing w:after="80" w:line="276"/>
      </w:pPr>
      <w:r>
        <w:t xml:space="preserve">Selama fase Baileys, proteksi anti-blokir diterapkan: Rate Limiting (maks. 15–20 pesan/menit/nomor), Jitter Delay (jeda acak 3–12 detik), dan Dynamic Text Variation (rotasi kalimat).</w:t>
      </w:r>
    </w:p>
    <w:p>
      <w:pPr>
        <w:pStyle w:val="Heading1"/>
        <w:spacing w:after="160" w:before="360"/>
      </w:pPr>
      <w:r>
        <w:t xml:space="preserve">6. Alur Sistem End-to-End (System Flow)</w:t>
      </w:r>
    </w:p>
    <w:p>
      <w:pPr>
        <w:pStyle w:val="Heading2"/>
        <w:spacing w:after="120" w:before="260"/>
      </w:pPr>
      <w:r>
        <w:t xml:space="preserve">6.1 Flow A — Input Transaksi &amp; Sinkronisasi Real-time Dashboard</w:t>
      </w:r>
    </w:p>
    <w:p>
      <w:pPr>
        <w:spacing w:after="160" w:line="276"/>
      </w:pPr>
      <w:r>
        <w:t xml:space="preserve">Target waktu penyelesaian: di bawah 30 detik per transaksi.</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8"/>
          <w:szCs w:val="18"/>
        </w:rPr>
        <w:t xml:space="preserve">1. User UMKM kirim teks di WhatsApp:</w:t>
      </w:r>
      <w:r>
        <w:rPr>
          <w:rFonts w:ascii="Consolas" w:cs="Consolas" w:eastAsia="Consolas" w:hAnsi="Consolas"/>
          <w:sz w:val="18"/>
          <w:szCs w:val="18"/>
        </w:rPr>
        <w:br/>
        <w:t xml:space="preserve">   "OMZET 500000 16-07-2026 PENJUALAN TOKO"</w:t>
      </w:r>
      <w:r>
        <w:rPr>
          <w:rFonts w:ascii="Consolas" w:cs="Consolas" w:eastAsia="Consolas" w:hAnsi="Consolas"/>
          <w:sz w:val="18"/>
          <w:szCs w:val="18"/>
        </w:rPr>
        <w:br/>
        <w:t xml:space="preserve">2. Meta/Server WhatsApp -&gt; Webhook HTTP POST (payload JSON) -&gt; WAHA API Gateway</w:t>
      </w:r>
      <w:r>
        <w:rPr>
          <w:rFonts w:ascii="Consolas" w:cs="Consolas" w:eastAsia="Consolas" w:hAnsi="Consolas"/>
          <w:sz w:val="18"/>
          <w:szCs w:val="18"/>
        </w:rPr>
        <w:br/>
        <w:t xml:space="preserve">3. WAHA forward payload -&gt; Golang Backend Server</w:t>
      </w:r>
      <w:r>
        <w:rPr>
          <w:rFonts w:ascii="Consolas" w:cs="Consolas" w:eastAsia="Consolas" w:hAnsi="Consolas"/>
          <w:sz w:val="18"/>
          <w:szCs w:val="18"/>
        </w:rPr>
        <w:br/>
        <w:t xml:space="preserve">4. Golang -&gt; Deterministic Tax Engine &amp; Regex Parser:</w:t>
      </w:r>
      <w:r>
        <w:rPr>
          <w:rFonts w:ascii="Consolas" w:cs="Consolas" w:eastAsia="Consolas" w:hAnsi="Consolas"/>
          <w:sz w:val="18"/>
          <w:szCs w:val="18"/>
        </w:rPr>
        <w:br/>
        <w:t xml:space="preserve">   - Ekstrak nominal, tanggal, kategori</w:t>
      </w:r>
      <w:r>
        <w:rPr>
          <w:rFonts w:ascii="Consolas" w:cs="Consolas" w:eastAsia="Consolas" w:hAnsi="Consolas"/>
          <w:sz w:val="18"/>
          <w:szCs w:val="18"/>
        </w:rPr>
        <w:br/>
        <w:t xml:space="preserve">   - Validasi batas omzet PP 55/2022 (Rp500 Juta)</w:t>
      </w:r>
      <w:r>
        <w:rPr>
          <w:rFonts w:ascii="Consolas" w:cs="Consolas" w:eastAsia="Consolas" w:hAnsi="Consolas"/>
          <w:sz w:val="18"/>
          <w:szCs w:val="18"/>
        </w:rPr>
        <w:br/>
        <w:t xml:space="preserve">5. Simpan transaksi + hash chain audit log -&gt; PostgreSQL</w:t>
      </w:r>
      <w:r>
        <w:rPr>
          <w:rFonts w:ascii="Consolas" w:cs="Consolas" w:eastAsia="Consolas" w:hAnsi="Consolas"/>
          <w:sz w:val="18"/>
          <w:szCs w:val="18"/>
        </w:rPr>
        <w:br/>
        <w:t xml:space="preserve">6. Trigger SWR/WebSocket update -&gt; Next.js Web Dashboard (real-time refresh)</w:t>
      </w:r>
      <w:r>
        <w:rPr>
          <w:rFonts w:ascii="Consolas" w:cs="Consolas" w:eastAsia="Consolas" w:hAnsi="Consolas"/>
          <w:sz w:val="18"/>
          <w:szCs w:val="18"/>
        </w:rPr>
        <w:br/>
        <w:t xml:space="preserve">7. Call API WAHA (send text) -&gt; WhatsApp user: "Transaksi Berhasil Dicatat!"</w:t>
      </w:r>
    </w:p>
    <w:p>
      <w:pPr>
        <w:pStyle w:val="Heading2"/>
        <w:spacing w:after="120" w:before="260"/>
      </w:pPr>
      <w:r>
        <w:t xml:space="preserve">6.2 Flow B — Permintaan Laporan PDF via WhatsApp</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8"/>
          <w:szCs w:val="18"/>
        </w:rPr>
        <w:t xml:space="preserve">1. User kirim perintah: "UNDUH SPT JULI" atau "LAPORAN 07-2026"</w:t>
      </w:r>
      <w:r>
        <w:rPr>
          <w:rFonts w:ascii="Consolas" w:cs="Consolas" w:eastAsia="Consolas" w:hAnsi="Consolas"/>
          <w:sz w:val="18"/>
          <w:szCs w:val="18"/>
        </w:rPr>
        <w:br/>
        <w:t xml:space="preserve">2. WAHA -&gt; Golang Backend Server</w:t>
      </w:r>
      <w:r>
        <w:rPr>
          <w:rFonts w:ascii="Consolas" w:cs="Consolas" w:eastAsia="Consolas" w:hAnsi="Consolas"/>
          <w:sz w:val="18"/>
          <w:szCs w:val="18"/>
        </w:rPr>
        <w:br/>
        <w:t xml:space="preserve">3. Query rekapitulasi data dari PostgreSQL</w:t>
      </w:r>
      <w:r>
        <w:rPr>
          <w:rFonts w:ascii="Consolas" w:cs="Consolas" w:eastAsia="Consolas" w:hAnsi="Consolas"/>
          <w:sz w:val="18"/>
          <w:szCs w:val="18"/>
        </w:rPr>
        <w:br/>
        <w:t xml:space="preserve">4. Kalkulasi total omzet &amp; PPh Final 0,5% terutang</w:t>
      </w:r>
      <w:r>
        <w:rPr>
          <w:rFonts w:ascii="Consolas" w:cs="Consolas" w:eastAsia="Consolas" w:hAnsi="Consolas"/>
          <w:sz w:val="18"/>
          <w:szCs w:val="18"/>
        </w:rPr>
        <w:br/>
        <w:t xml:space="preserve">5. Render dokumen Draf SPT / Laporan Audit format .PDF</w:t>
      </w:r>
      <w:r>
        <w:rPr>
          <w:rFonts w:ascii="Consolas" w:cs="Consolas" w:eastAsia="Consolas" w:hAnsi="Consolas"/>
          <w:sz w:val="18"/>
          <w:szCs w:val="18"/>
        </w:rPr>
        <w:br/>
        <w:t xml:space="preserve">6. Call endpoint WAHA POST /api/sendFileByUrl (attachment PDF)</w:t>
      </w:r>
      <w:r>
        <w:rPr>
          <w:rFonts w:ascii="Consolas" w:cs="Consolas" w:eastAsia="Consolas" w:hAnsi="Consolas"/>
          <w:sz w:val="18"/>
          <w:szCs w:val="18"/>
        </w:rPr>
        <w:br/>
        <w:t xml:space="preserve">7. WhatsApp user menerima file PDF Draf SPT siap setor / ajukan KUR</w:t>
      </w:r>
    </w:p>
    <w:p>
      <w:pPr>
        <w:pStyle w:val="Heading1"/>
        <w:spacing w:after="160" w:before="360"/>
      </w:pPr>
      <w:r>
        <w:t xml:space="preserve">7. Functional Requirements</w:t>
      </w:r>
    </w:p>
    <w:p>
      <w:pPr>
        <w:spacing w:after="160" w:line="276"/>
      </w:pPr>
      <w:r>
        <w:t xml:space="preserve">Requirement dikelompokkan menjadi dua domain kepemilikan sesuai struktur tim (Vertical Feature Slicing): Domain 1 — Angga (Core Engine, WAHA Pipeline, Async Workers) dan Domain 2 — Tude (Web Dashboard, Multi-Tenancy RBAC, Portal B2B).</w:t>
      </w:r>
    </w:p>
    <w:p>
      <w:pPr>
        <w:pStyle w:val="Heading2"/>
        <w:spacing w:after="120" w:before="260"/>
      </w:pPr>
      <w:r>
        <w:t xml:space="preserve">7.1 Domain 1 (Angga): Core Engine, WAHA Pipeline &amp; Async Workers</w:t>
      </w:r>
    </w:p>
    <w:p>
      <w:pPr>
        <w:pStyle w:val="Heading3"/>
        <w:spacing w:after="100" w:before="200"/>
      </w:pPr>
      <w:r>
        <w:t xml:space="preserve">FR-1.1 WAHA Webhook Receiver &amp; Regex Parser</w:t>
      </w:r>
    </w:p>
    <w:p>
      <w:pPr>
        <w:pStyle w:val="ListParagraph"/>
        <w:numPr>
          <w:ilvl w:val="0"/>
          <w:numId w:val="2"/>
        </w:numPr>
        <w:spacing w:after="80" w:line="276"/>
      </w:pPr>
      <w:r>
        <w:t xml:space="preserve">Endpoint: POST /api/v1/webhooks/waha menerima payload JSON dari server WAHA.</w:t>
      </w:r>
    </w:p>
    <w:p>
      <w:pPr>
        <w:pStyle w:val="ListParagraph"/>
        <w:numPr>
          <w:ilvl w:val="0"/>
          <w:numId w:val="2"/>
        </w:numPr>
        <w:spacing w:after="80" w:line="276"/>
      </w:pPr>
      <w:r>
        <w:t xml:space="preserve">Verifikasi keamanan wajib menggunakan secret token pada header HTTP X-WAHA-Signature untuk mencegah injeksi data palsu.</w:t>
      </w:r>
    </w:p>
    <w:p>
      <w:pPr>
        <w:pStyle w:val="ListParagraph"/>
        <w:numPr>
          <w:ilvl w:val="0"/>
          <w:numId w:val="2"/>
        </w:numPr>
        <w:spacing w:after="80" w:line="276"/>
      </w:pPr>
      <w:r>
        <w:t xml:space="preserve">Pola Regex baku: ^(OMZET|BEBAN|PRIBADI)\s+([0-9.]+)\s+([0-9]{2}-[0-9]{2}-[0-9]{4})\s+(.+)$</w:t>
      </w:r>
    </w:p>
    <w:p>
      <w:pPr>
        <w:pStyle w:val="ListParagraph"/>
        <w:numPr>
          <w:ilvl w:val="0"/>
          <w:numId w:val="2"/>
        </w:numPr>
        <w:spacing w:after="80" w:line="276"/>
      </w:pPr>
      <w:r>
        <w:t xml:space="preserve">Contoh input valid: "OMZET 500000 16-07-2026 PENJUALAN TOKO"</w:t>
      </w:r>
    </w:p>
    <w:p>
      <w:pPr>
        <w:pStyle w:val="ListParagraph"/>
        <w:numPr>
          <w:ilvl w:val="0"/>
          <w:numId w:val="2"/>
        </w:numPr>
        <w:spacing w:after="80" w:line="276"/>
      </w:pPr>
      <w:r>
        <w:t xml:space="preserve">Mekanisme fallback: jika format tidak match 100%, sistem TIDAK BOLEH menebak — bot wajib membalas: "Format salah. Contoh yang benar: OMZET 500000 16-07-2026 [Keterangan]".</w:t>
      </w:r>
    </w:p>
    <w:p>
      <w:pPr>
        <w:pStyle w:val="Heading3"/>
        <w:spacing w:after="100" w:before="200"/>
      </w:pPr>
      <w:r>
        <w:t xml:space="preserve">FR-1.2 Deterministic Rule-Based Tax Engine (PP 55/2022)</w:t>
      </w:r>
    </w:p>
    <w:p>
      <w:pPr>
        <w:pStyle w:val="ListParagraph"/>
        <w:numPr>
          <w:ilvl w:val="0"/>
          <w:numId w:val="2"/>
        </w:numPr>
        <w:spacing w:after="80" w:line="276"/>
      </w:pPr>
      <w:r>
        <w:t xml:space="preserve">Setiap transaksi baru memicu query akumulasi omzet bruto tahun berjalan per tenant.</w:t>
      </w:r>
    </w:p>
    <w:p>
      <w:pPr>
        <w:pStyle w:val="ListParagraph"/>
        <w:numPr>
          <w:ilvl w:val="0"/>
          <w:numId w:val="2"/>
        </w:numPr>
        <w:spacing w:after="80" w:line="276"/>
      </w:pPr>
      <w:r>
        <w:t xml:space="preserve">Kondisi 1 (di bawah batas): akumulasi &lt; Rp500.000.000 → PPh Final terutang = Rp0.</w:t>
      </w:r>
    </w:p>
    <w:p>
      <w:pPr>
        <w:pStyle w:val="ListParagraph"/>
        <w:numPr>
          <w:ilvl w:val="0"/>
          <w:numId w:val="2"/>
        </w:numPr>
        <w:spacing w:after="80" w:line="276"/>
      </w:pPr>
      <w:r>
        <w:t xml:space="preserve">Kondisi 2 (melewati batas pada transaksi berjalan): PPh Final 0,5% hanya dikenakan pada selisih nominal yang melampaui batas Rp500 juta (contoh: akumulasi Rp499.800.000 + omzet baru Rp500.000 = Rp500.300.000 → pajak = 0,5% × Rp300.000 = Rp1.500).</w:t>
      </w:r>
    </w:p>
    <w:p>
      <w:pPr>
        <w:pStyle w:val="ListParagraph"/>
        <w:numPr>
          <w:ilvl w:val="0"/>
          <w:numId w:val="2"/>
        </w:numPr>
        <w:spacing w:after="80" w:line="276"/>
      </w:pPr>
      <w:r>
        <w:t xml:space="preserve">Kondisi 3 (sudah di atas batas): seluruh transaksi berikutnya hingga akhir tahun dikenakan PPh Final 0,5% penuh dari nominal transaksi.</w:t>
      </w:r>
    </w:p>
    <w:p>
      <w:pPr>
        <w:pStyle w:val="ListParagraph"/>
        <w:numPr>
          <w:ilvl w:val="0"/>
          <w:numId w:val="2"/>
        </w:numPr>
        <w:spacing w:after="80" w:line="276"/>
      </w:pPr>
      <w:r>
        <w:t xml:space="preserve">Wajib akurasi 100% tanpa pembulatan desimal meleset — tipe data kolom nominal wajib NUMERIC(15,2), dilarang FLOAT/DOUBLE.</w:t>
      </w:r>
    </w:p>
    <w:p>
      <w:pPr>
        <w:pStyle w:val="Heading3"/>
        <w:spacing w:after="100" w:before="200"/>
      </w:pPr>
      <w:r>
        <w:t xml:space="preserve">FR-1.3 Immutable Audit Trail &amp; Hash Chaining</w:t>
      </w:r>
    </w:p>
    <w:p>
      <w:pPr>
        <w:pStyle w:val="ListParagraph"/>
        <w:numPr>
          <w:ilvl w:val="0"/>
          <w:numId w:val="2"/>
        </w:numPr>
        <w:spacing w:after="80" w:line="276"/>
      </w:pPr>
      <w:r>
        <w:t xml:space="preserve">Tabel audit_logs bersifat append-only — hak akses UPDATE dan DELETE dicabut dari database user aplikasi Golang.</w:t>
      </w:r>
    </w:p>
    <w:p>
      <w:pPr>
        <w:pStyle w:val="ListParagraph"/>
        <w:numPr>
          <w:ilvl w:val="0"/>
          <w:numId w:val="2"/>
        </w:numPr>
        <w:spacing w:after="80" w:line="276"/>
      </w:pPr>
      <w:r>
        <w:t xml:space="preserve">Setiap baris memiliki kolom previous_hash dan current_hash.</w:t>
      </w:r>
    </w:p>
    <w:p>
      <w:pPr>
        <w:pStyle w:val="ListParagraph"/>
        <w:numPr>
          <w:ilvl w:val="0"/>
          <w:numId w:val="2"/>
        </w:numPr>
        <w:spacing w:after="80" w:line="276"/>
      </w:pPr>
      <w:r>
        <w:t xml:space="preserve">current_hash = SHA256(previous_hash + timestamp + amount + category + tenant_id).</w:t>
      </w:r>
    </w:p>
    <w:p>
      <w:pPr>
        <w:pStyle w:val="ListParagraph"/>
        <w:numPr>
          <w:ilvl w:val="0"/>
          <w:numId w:val="2"/>
        </w:numPr>
        <w:spacing w:after="80" w:line="276"/>
      </w:pPr>
      <w:r>
        <w:t xml:space="preserve">Jika satu baris di tengah tabel diubah secara ilegal, seluruh rantai hash di bawahnya menjadi tidak valid — memenuhi standar audit trail untuk pengajuan KUR perbankan.</w:t>
      </w:r>
    </w:p>
    <w:p>
      <w:pPr>
        <w:pStyle w:val="Heading3"/>
        <w:spacing w:after="100" w:before="200"/>
      </w:pPr>
      <w:r>
        <w:t xml:space="preserve">FR-1.4 PDF Generator Worker &amp; Sender Service</w:t>
      </w:r>
    </w:p>
    <w:p>
      <w:pPr>
        <w:pStyle w:val="ListParagraph"/>
        <w:numPr>
          <w:ilvl w:val="0"/>
          <w:numId w:val="2"/>
        </w:numPr>
        <w:spacing w:after="80" w:line="276"/>
      </w:pPr>
      <w:r>
        <w:t xml:space="preserve">Perintah "UNDUH SPT [BULAN]" atau batch export oleh konsultan melempar tugas ke Redis Queue (bukan diproses synchronous).</w:t>
      </w:r>
    </w:p>
    <w:p>
      <w:pPr>
        <w:pStyle w:val="ListParagraph"/>
        <w:numPr>
          <w:ilvl w:val="0"/>
          <w:numId w:val="2"/>
        </w:numPr>
        <w:spacing w:after="80" w:line="276"/>
      </w:pPr>
      <w:r>
        <w:t xml:space="preserve">Worker Golang (pustaka gofpdf) mengambil data transaksi bulanan dari PostgreSQL dan merender dokumen Draf SPT sesuai format kolom resmi e-Filing DJP (.PDF dan .CSV).</w:t>
      </w:r>
    </w:p>
    <w:p>
      <w:pPr>
        <w:pStyle w:val="ListParagraph"/>
        <w:numPr>
          <w:ilvl w:val="0"/>
          <w:numId w:val="2"/>
        </w:numPr>
        <w:spacing w:after="80" w:line="276"/>
      </w:pPr>
      <w:r>
        <w:t xml:space="preserve">File disimpan sementara di Cloud Storage, kemudian dikirim ke WhatsApp user via WAHA POST /api/sendFileByUrl.</w:t>
      </w:r>
    </w:p>
    <w:p>
      <w:pPr>
        <w:pStyle w:val="Heading3"/>
        <w:spacing w:after="100" w:before="200"/>
      </w:pPr>
      <w:r>
        <w:t xml:space="preserve">FR-1.5 Anti-Spam Broadcast Engine</w:t>
      </w:r>
    </w:p>
    <w:p>
      <w:pPr>
        <w:pStyle w:val="ListParagraph"/>
        <w:numPr>
          <w:ilvl w:val="0"/>
          <w:numId w:val="2"/>
        </w:numPr>
        <w:spacing w:after="80" w:line="276"/>
      </w:pPr>
      <w:r>
        <w:t xml:space="preserve">Cron job aktif pada H-7, H-3, H-1 sebelum tenggat (tanggal 15 setiap bulan) untuk mendeteksi UMKM yang belum melapor.</w:t>
      </w:r>
    </w:p>
    <w:p>
      <w:pPr>
        <w:pStyle w:val="ListParagraph"/>
        <w:numPr>
          <w:ilvl w:val="0"/>
          <w:numId w:val="2"/>
        </w:numPr>
        <w:spacing w:after="80" w:line="276"/>
      </w:pPr>
      <w:r>
        <w:t xml:space="preserve">Tiga lapis proteksi wajib: Rate Limiting (15–20 pesan/menit/nomor gateway), Jitter Delay (jeda acak 3–12 detik antar pengiriman), Dynamic Text Variation (rotasi kalimat sapaan/penutup).</w:t>
      </w:r>
    </w:p>
    <w:p>
      <w:pPr>
        <w:pStyle w:val="Heading2"/>
        <w:spacing w:after="120" w:before="260"/>
      </w:pPr>
      <w:r>
        <w:t xml:space="preserve">7.2 Domain 2 (Tude): Web Dashboard, Multi-Tenancy RBAC &amp; Portal B2B</w:t>
      </w:r>
    </w:p>
    <w:p>
      <w:pPr>
        <w:pStyle w:val="Heading3"/>
        <w:spacing w:after="100" w:before="200"/>
      </w:pPr>
      <w:r>
        <w:t xml:space="preserve">FR-2.1 Authentication &amp; RLS Session Binding</w:t>
      </w:r>
    </w:p>
    <w:p>
      <w:pPr>
        <w:pStyle w:val="ListParagraph"/>
        <w:numPr>
          <w:ilvl w:val="0"/>
          <w:numId w:val="2"/>
        </w:numPr>
        <w:spacing w:after="80" w:line="276"/>
      </w:pPr>
      <w:r>
        <w:t xml:space="preserve">Autentikasi berbasis JWT/Session yang mengikat ID pengguna dengan UUID Tenant (UMKM Mandiri) atau UUID Konsultan.</w:t>
      </w:r>
    </w:p>
    <w:p>
      <w:pPr>
        <w:pStyle w:val="ListParagraph"/>
        <w:numPr>
          <w:ilvl w:val="0"/>
          <w:numId w:val="2"/>
        </w:numPr>
        <w:spacing w:after="80" w:line="276"/>
      </w:pPr>
      <w:r>
        <w:t xml:space="preserve">Setiap query dari Next.js ke API Golang wajib melalui middleware yang menyuntikkan konteks SET app.current_tenant_id = 'uuid' ke sesi koneksi PostgreSQL, menjamin isolasi data 100%.</w:t>
      </w:r>
    </w:p>
    <w:p>
      <w:pPr>
        <w:pStyle w:val="Heading3"/>
        <w:spacing w:after="100" w:before="200"/>
      </w:pPr>
      <w:r>
        <w:t xml:space="preserve">FR-2.2 Portal UMKM Mandiri (Tenant A)</w:t>
      </w:r>
    </w:p>
    <w:p>
      <w:pPr>
        <w:pStyle w:val="ListParagraph"/>
        <w:numPr>
          <w:ilvl w:val="0"/>
          <w:numId w:val="2"/>
        </w:numPr>
        <w:spacing w:after="80" w:line="276"/>
      </w:pPr>
      <w:r>
        <w:t xml:space="preserve">Progress Bar PP 55/2022: meteran visual akumulasi omzet menuju Rp500 juta, dengan warna dinamis — Hijau (&lt;70%), Kuning (70–95%), Merah/Ungu (≥100%, wajib pajak).</w:t>
      </w:r>
    </w:p>
    <w:p>
      <w:pPr>
        <w:pStyle w:val="ListParagraph"/>
        <w:numPr>
          <w:ilvl w:val="0"/>
          <w:numId w:val="2"/>
        </w:numPr>
        <w:spacing w:after="80" w:line="276"/>
      </w:pPr>
      <w:r>
        <w:t xml:space="preserve">Real-Time Cashflow Visualizer: pie chart &amp; bar chart bulanan memisahkan "Omzet Kena Pajak" vs "Transaksi Non-Fiskal"; wajib auto-refresh via SWR/WebSocket saat ada pesan WhatsApp baru, tanpa reload halaman.</w:t>
      </w:r>
    </w:p>
    <w:p>
      <w:pPr>
        <w:pStyle w:val="ListParagraph"/>
        <w:numPr>
          <w:ilvl w:val="0"/>
          <w:numId w:val="2"/>
        </w:numPr>
        <w:spacing w:after="80" w:line="276"/>
      </w:pPr>
      <w:r>
        <w:t xml:space="preserve">Quick Correction Audit Table: riwayat transaksi dengan filter tanggal/kategori, tombol "Edit Nominal"/"Hapus Transaksi" dengan modal konfirmasi (berlaku hanya selama siklus bulan pajak belum locked).</w:t>
      </w:r>
    </w:p>
    <w:p>
      <w:pPr>
        <w:pStyle w:val="ListParagraph"/>
        <w:numPr>
          <w:ilvl w:val="0"/>
          <w:numId w:val="2"/>
        </w:numPr>
        <w:spacing w:after="80" w:line="276"/>
      </w:pPr>
      <w:r>
        <w:t xml:space="preserve">Export Center UI: unduh 1-klik Draf SPT Bulanan (.PDF/.CSV) dan dokumen "Rekam Jejak Keuangan Audit-Ready" untuk lampiran pengajuan KUR.</w:t>
      </w:r>
    </w:p>
    <w:p>
      <w:pPr>
        <w:pStyle w:val="Heading3"/>
        <w:spacing w:after="100" w:before="200"/>
      </w:pPr>
      <w:r>
        <w:t xml:space="preserve">FR-2.3 Portal B2B Konsultan Pajak (Tenant B)</w:t>
      </w:r>
    </w:p>
    <w:p>
      <w:pPr>
        <w:pStyle w:val="ListParagraph"/>
        <w:numPr>
          <w:ilvl w:val="0"/>
          <w:numId w:val="2"/>
        </w:numPr>
        <w:spacing w:after="80" w:line="276"/>
      </w:pPr>
      <w:r>
        <w:t xml:space="preserve">Client Switcher Dropdown &amp; Traffic Light Table: tabel master seluruh klien konsultan dengan status — Hijau (Ready), Kuning (Review Required — anomali atau omzet mendekati Rp500 juta), Merah (Critical/Overdue — H-3 tanpa input).</w:t>
      </w:r>
    </w:p>
    <w:p>
      <w:pPr>
        <w:pStyle w:val="ListParagraph"/>
        <w:numPr>
          <w:ilvl w:val="0"/>
          <w:numId w:val="2"/>
        </w:numPr>
        <w:spacing w:after="80" w:line="276"/>
      </w:pPr>
      <w:r>
        <w:t xml:space="preserve">Anomaly Detection Alert Feed: panel notifikasi yang menyoroti transaksi mencurigakan (mis. pengeluaran pribadi tercatat sebagai beban usaha, lonjakan nominal ekstrem) untuk diverifikasi konsultan.</w:t>
      </w:r>
    </w:p>
    <w:p>
      <w:pPr>
        <w:pStyle w:val="ListParagraph"/>
        <w:numPr>
          <w:ilvl w:val="0"/>
          <w:numId w:val="2"/>
        </w:numPr>
        <w:spacing w:after="80" w:line="276"/>
      </w:pPr>
      <w:r>
        <w:t xml:space="preserve">1-Click Connect Onboarding: form "Nama Usaha" + "Nomor WhatsApp" klien, tombol [Kirim Undangan Integrasi] memicu API Golang agar bot WAHA mengirim undangan proaktif ("Ketik SETUJU untuk mengaktifkan...").</w:t>
      </w:r>
    </w:p>
    <w:p>
      <w:pPr>
        <w:pStyle w:val="ListParagraph"/>
        <w:numPr>
          <w:ilvl w:val="0"/>
          <w:numId w:val="2"/>
        </w:numPr>
        <w:spacing w:after="80" w:line="276"/>
      </w:pPr>
      <w:r>
        <w:t xml:space="preserve">Batch Export Actions: checkbox multi-select untuk memilih puluhan klien sekaligus, tombol [Ekspor N Draf SPT (ZIP)] memicu worker backend mengompresi seluruh dokumen ke satu file .ZIP.</w:t>
      </w:r>
    </w:p>
    <w:p>
      <w:pPr>
        <w:pStyle w:val="Heading2"/>
        <w:spacing w:after="120" w:before="260"/>
      </w:pPr>
      <w:r>
        <w:t xml:space="preserve">7.3 Alur Onboarding Klien (1-Click Connect) — Detail</w:t>
      </w:r>
    </w:p>
    <w:p>
      <w:pPr>
        <w:pStyle w:val="ListParagraph"/>
        <w:numPr>
          <w:ilvl w:val="0"/>
          <w:numId w:val="3"/>
        </w:numPr>
        <w:spacing w:after="80" w:line="276"/>
      </w:pPr>
      <w:r>
        <w:t xml:space="preserve">Konsultan login ke Web Dashboard, masuk menu manajemen klien, memasukkan Nama Usaha &amp; Nomor WhatsApp klien.</w:t>
      </w:r>
    </w:p>
    <w:p>
      <w:pPr>
        <w:pStyle w:val="ListParagraph"/>
        <w:numPr>
          <w:ilvl w:val="0"/>
          <w:numId w:val="3"/>
        </w:numPr>
        <w:spacing w:after="80" w:line="276"/>
      </w:pPr>
      <w:r>
        <w:t xml:space="preserve">Backend Golang memanggil API WAHA untuk mengirim pesan undangan proaktif, contoh: "Halo, Warung Bu Ana! Konsultan Pajak Anda (Pak Budi) mengundang Anda untuk menghubungkan pencatatan kas harian via Pajakin.id. Ketik SETUJU untuk mengaktifkan layanan pembukuan otomatis."</w:t>
      </w:r>
    </w:p>
    <w:p>
      <w:pPr>
        <w:pStyle w:val="ListParagraph"/>
        <w:numPr>
          <w:ilvl w:val="0"/>
          <w:numId w:val="3"/>
        </w:numPr>
        <w:spacing w:after="80" w:line="276"/>
      </w:pPr>
      <w:r>
        <w:t xml:space="preserve">Begitu UMKM membalas SETUJU, akun WhatsApp langsung terdaftar di PostgreSQL dan otomatis terkunci di bawah ID otorisasi konsultan tersebut (RLS).</w:t>
      </w:r>
    </w:p>
    <w:p>
      <w:pPr>
        <w:pStyle w:val="ListParagraph"/>
        <w:numPr>
          <w:ilvl w:val="0"/>
          <w:numId w:val="3"/>
        </w:numPr>
        <w:spacing w:after="80" w:line="276"/>
      </w:pPr>
      <w:r>
        <w:t xml:space="preserve">Bot membalas panduan singkat; sejak detik itu setiap pesan transaksi UMKM langsung diurai dan tampil real-time di dasbor konsultan.</w:t>
      </w:r>
    </w:p>
    <w:p>
      <w:pPr>
        <w:pStyle w:val="Heading1"/>
        <w:spacing w:after="160" w:before="360"/>
      </w:pPr>
      <w:r>
        <w:t xml:space="preserve">8. Data Model / Skema Database</w:t>
      </w:r>
    </w:p>
    <w:p>
      <w:pPr>
        <w:spacing w:after="160" w:line="276"/>
      </w:pPr>
      <w:r>
        <w:t xml:space="preserve">Seluruh kolom nominal uang wajib bertipe NUMERIC(15,2) — dilarang menggunakan FLOAT atau DOUBLE untuk mencegah galat pembulatan desimal dalam kalkulasi pajak.</w:t>
      </w:r>
    </w:p>
    <w:p>
      <w:pPr>
        <w:pStyle w:val="Heading2"/>
        <w:spacing w:after="120" w:before="260"/>
      </w:pPr>
      <w:r>
        <w:t xml:space="preserve">8.1 Tabel Inti</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600"/>
        <w:gridCol w:w="86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Tabel</w:t>
            </w:r>
          </w:p>
        </w:tc>
        <w:tc>
          <w:tcPr>
            <w:tcW w:type="dxa" w:w="8600"/>
            <w:shd w:fill="1F3864" w:val="clear"/>
            <w:tcMar>
              <w:top w:type="dxa" w:w="80"/>
              <w:left w:type="dxa" w:w="100"/>
              <w:bottom w:type="dxa" w:w="80"/>
              <w:right w:type="dxa" w:w="100"/>
            </w:tcMar>
            <w:vAlign w:val="center"/>
          </w:tcPr>
          <w:p>
            <w:pPr>
              <w:jc w:val="left"/>
            </w:pPr>
            <w:r>
              <w:rPr>
                <w:b/>
                <w:bCs/>
                <w:color w:val="FFFFFF"/>
                <w:sz w:val="20"/>
                <w:szCs w:val="20"/>
              </w:rPr>
              <w:t xml:space="preserve">Fungsi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users</w:t>
            </w:r>
          </w:p>
        </w:tc>
        <w:tc>
          <w:tcPr>
            <w:tcW w:type="dxa" w:w="8600"/>
            <w:tcMar>
              <w:top w:type="dxa" w:w="80"/>
              <w:left w:type="dxa" w:w="100"/>
              <w:bottom w:type="dxa" w:w="80"/>
              <w:right w:type="dxa" w:w="100"/>
            </w:tcMar>
            <w:vAlign w:val="center"/>
          </w:tcPr>
          <w:p>
            <w:pPr>
              <w:jc w:val="left"/>
            </w:pPr>
            <w:r>
              <w:rPr>
                <w:b w:val="false"/>
                <w:bCs w:val="false"/>
                <w:sz w:val="20"/>
                <w:szCs w:val="20"/>
              </w:rPr>
              <w:t xml:space="preserve">Akun UMKM Mandiri dan/atau akun Konsultan Pajak (role-based)</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clients</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Relasi klien UMKM di bawah otorisasi seorang konsultan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transactions</w:t>
            </w:r>
          </w:p>
        </w:tc>
        <w:tc>
          <w:tcPr>
            <w:tcW w:type="dxa" w:w="8600"/>
            <w:tcMar>
              <w:top w:type="dxa" w:w="80"/>
              <w:left w:type="dxa" w:w="100"/>
              <w:bottom w:type="dxa" w:w="80"/>
              <w:right w:type="dxa" w:w="100"/>
            </w:tcMar>
            <w:vAlign w:val="center"/>
          </w:tcPr>
          <w:p>
            <w:pPr>
              <w:jc w:val="left"/>
            </w:pPr>
            <w:r>
              <w:rPr>
                <w:b w:val="false"/>
                <w:bCs w:val="false"/>
                <w:sz w:val="20"/>
                <w:szCs w:val="20"/>
              </w:rPr>
              <w:t xml:space="preserve">Catatan arus kas (OMZET/BEBAN/PRIBADI) per tenant, sumber utama kalkulasi pajak</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tax_records</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Hasil kalkulasi PPh Final per periode pelaporan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audit_logs</w:t>
            </w:r>
          </w:p>
        </w:tc>
        <w:tc>
          <w:tcPr>
            <w:tcW w:type="dxa" w:w="8600"/>
            <w:tcMar>
              <w:top w:type="dxa" w:w="80"/>
              <w:left w:type="dxa" w:w="100"/>
              <w:bottom w:type="dxa" w:w="80"/>
              <w:right w:type="dxa" w:w="100"/>
            </w:tcMar>
            <w:vAlign w:val="center"/>
          </w:tcPr>
          <w:p>
            <w:pPr>
              <w:jc w:val="left"/>
            </w:pPr>
            <w:r>
              <w:rPr>
                <w:b w:val="false"/>
                <w:bCs w:val="false"/>
                <w:sz w:val="20"/>
                <w:szCs w:val="20"/>
              </w:rPr>
              <w:t xml:space="preserve">Log immutable (hash chaining) untuk seluruh aktivitas finansial — append-only</w:t>
            </w:r>
          </w:p>
        </w:tc>
      </w:tr>
    </w:tbl>
    <w:p>
      <w:pPr>
        <w:pStyle w:val="Heading2"/>
        <w:spacing w:after="120" w:before="260"/>
      </w:pPr>
      <w:r>
        <w:t xml:space="preserve">8.2 Kebijakan Row-Level Security (Wajib)</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8"/>
          <w:szCs w:val="18"/>
        </w:rPr>
        <w:t xml:space="preserve">ALTER TABLE transactions ENABLE ROW LEVEL SECURITY;</w:t>
      </w:r>
      <w:r>
        <w:rPr>
          <w:rFonts w:ascii="Consolas" w:cs="Consolas" w:eastAsia="Consolas" w:hAnsi="Consolas"/>
          <w:sz w:val="18"/>
          <w:szCs w:val="18"/>
        </w:rPr>
        <w:br/>
        <w:t xml:space="preserve"/>
      </w:r>
      <w:r>
        <w:rPr>
          <w:rFonts w:ascii="Consolas" w:cs="Consolas" w:eastAsia="Consolas" w:hAnsi="Consolas"/>
          <w:sz w:val="18"/>
          <w:szCs w:val="18"/>
        </w:rPr>
        <w:br/>
        <w:t xml:space="preserve">CREATE POLICY tenant_isolation_policy ON transactions</w:t>
      </w:r>
      <w:r>
        <w:rPr>
          <w:rFonts w:ascii="Consolas" w:cs="Consolas" w:eastAsia="Consolas" w:hAnsi="Consolas"/>
          <w:sz w:val="18"/>
          <w:szCs w:val="18"/>
        </w:rPr>
        <w:br/>
        <w:t xml:space="preserve">  FOR ALL</w:t>
      </w:r>
      <w:r>
        <w:rPr>
          <w:rFonts w:ascii="Consolas" w:cs="Consolas" w:eastAsia="Consolas" w:hAnsi="Consolas"/>
          <w:sz w:val="18"/>
          <w:szCs w:val="18"/>
        </w:rPr>
        <w:br/>
        <w:t xml:space="preserve">  USING (</w:t>
      </w:r>
      <w:r>
        <w:rPr>
          <w:rFonts w:ascii="Consolas" w:cs="Consolas" w:eastAsia="Consolas" w:hAnsi="Consolas"/>
          <w:sz w:val="18"/>
          <w:szCs w:val="18"/>
        </w:rPr>
        <w:br/>
        <w:t xml:space="preserve">    tenant_id = NULLIF(current_setting('app.current_tenant_id', true), '')::UUID</w:t>
      </w:r>
      <w:r>
        <w:rPr>
          <w:rFonts w:ascii="Consolas" w:cs="Consolas" w:eastAsia="Consolas" w:hAnsi="Consolas"/>
          <w:sz w:val="18"/>
          <w:szCs w:val="18"/>
        </w:rPr>
        <w:br/>
        <w:t xml:space="preserve">    OR</w:t>
      </w:r>
      <w:r>
        <w:rPr>
          <w:rFonts w:ascii="Consolas" w:cs="Consolas" w:eastAsia="Consolas" w:hAnsi="Consolas"/>
          <w:sz w:val="18"/>
          <w:szCs w:val="18"/>
        </w:rPr>
        <w:br/>
        <w:t xml:space="preserve">    consultant_id = NULLIF(current_setting('app.current_user_id', true), '')::UUID</w:t>
      </w:r>
      <w:r>
        <w:rPr>
          <w:rFonts w:ascii="Consolas" w:cs="Consolas" w:eastAsia="Consolas" w:hAnsi="Consolas"/>
          <w:sz w:val="18"/>
          <w:szCs w:val="18"/>
        </w:rPr>
        <w:br/>
        <w:t xml:space="preserve">  );</w:t>
      </w:r>
    </w:p>
    <w:p>
      <w:pPr>
        <w:spacing w:after="160" w:line="276"/>
      </w:pPr>
      <w:r>
        <w:t xml:space="preserve">Kebijakan setara wajib diterapkan pada seluruh tabel yang menyimpan data milik tenant untuk menjamin Konsultan A tidak pernah dapat melihat/membocorkan data klien milik Konsultan B.</w:t>
      </w:r>
    </w:p>
    <w:p>
      <w:pPr>
        <w:pStyle w:val="Heading1"/>
        <w:spacing w:after="160" w:before="360"/>
      </w:pPr>
      <w:r>
        <w:t xml:space="preserve">9. Kontrak API (REST &amp; Webhook)</w:t>
      </w:r>
    </w:p>
    <w:p>
      <w:pPr>
        <w:spacing w:after="160" w:line="276"/>
      </w:pPr>
      <w:r>
        <w:t xml:space="preserve">Kontrak ini mengikat sinkronisasi kerja antara domain Angga (backend) dan Tude (frontend) — perubahan payload wajib disepakati bersama sebelum diimplementasikan.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600"/>
      </w:tblGrid>
      <w:tr>
        <w:trPr>
          <w:tblHeader/>
        </w:trPr>
        <w:tc>
          <w:tcPr>
            <w:tcW w:type="dxa" w:w="1200"/>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4600"/>
            <w:shd w:fill="1F3864" w:val="clear"/>
            <w:tcMar>
              <w:top w:type="dxa" w:w="80"/>
              <w:left w:type="dxa" w:w="100"/>
              <w:bottom w:type="dxa" w:w="80"/>
              <w:right w:type="dxa" w:w="100"/>
            </w:tcMar>
            <w:vAlign w:val="center"/>
          </w:tcPr>
          <w:p>
            <w:pPr>
              <w:jc w:val="left"/>
            </w:pPr>
            <w:r>
              <w:rPr>
                <w:b/>
                <w:bCs/>
                <w:color w:val="FFFFFF"/>
                <w:sz w:val="20"/>
                <w:szCs w:val="20"/>
              </w:rPr>
              <w:t xml:space="preserve">Deskripsi &amp; Payload</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POST</w:t>
            </w:r>
          </w:p>
        </w:tc>
        <w:tc>
          <w:tcPr>
            <w:tcW w:type="dxa" w:w="3400"/>
            <w:tcMar>
              <w:top w:type="dxa" w:w="80"/>
              <w:left w:type="dxa" w:w="100"/>
              <w:bottom w:type="dxa" w:w="80"/>
              <w:right w:type="dxa" w:w="100"/>
            </w:tcMar>
            <w:vAlign w:val="center"/>
          </w:tcPr>
          <w:p>
            <w:pPr>
              <w:jc w:val="left"/>
            </w:pPr>
            <w:r>
              <w:rPr>
                <w:b w:val="false"/>
                <w:bCs w:val="false"/>
                <w:sz w:val="20"/>
                <w:szCs w:val="20"/>
              </w:rPr>
              <w:t xml:space="preserve">/api/v1/webhooks/waha</w:t>
            </w:r>
          </w:p>
        </w:tc>
        <w:tc>
          <w:tcPr>
            <w:tcW w:type="dxa" w:w="4600"/>
            <w:tcMar>
              <w:top w:type="dxa" w:w="80"/>
              <w:left w:type="dxa" w:w="100"/>
              <w:bottom w:type="dxa" w:w="80"/>
              <w:right w:type="dxa" w:w="100"/>
            </w:tcMar>
            <w:vAlign w:val="center"/>
          </w:tcPr>
          <w:p>
            <w:pPr>
              <w:jc w:val="left"/>
            </w:pPr>
            <w:r>
              <w:rPr>
                <w:b w:val="false"/>
                <w:bCs w:val="false"/>
                <w:sz w:val="20"/>
                <w:szCs w:val="20"/>
              </w:rPr>
              <w:t xml:space="preserve">Menerima pesan masuk dari WAHA. Contoh: {"from":"62812xxx@c.us","body":"OMZET 500000 16-07-2026","timestamp":1784218233}</w:t>
            </w:r>
          </w:p>
        </w:tc>
      </w:tr>
      <w:tr>
        <w:tc>
          <w:tcPr>
            <w:tcW w:type="dxa" w:w="1200"/>
            <w:shd w:fill="F2F6FA" w:val="clear"/>
            <w:tcMar>
              <w:top w:type="dxa" w:w="80"/>
              <w:left w:type="dxa" w:w="100"/>
              <w:bottom w:type="dxa" w:w="80"/>
              <w:right w:type="dxa" w:w="100"/>
            </w:tcMar>
            <w:vAlign w:val="center"/>
          </w:tcPr>
          <w:p>
            <w:pPr>
              <w:jc w:val="left"/>
            </w:pPr>
            <w:r>
              <w:rPr>
                <w:b w:val="false"/>
                <w:bCs w:val="false"/>
                <w:sz w:val="20"/>
                <w:szCs w:val="20"/>
              </w:rPr>
              <w:t xml:space="preserve">GET</w:t>
            </w:r>
          </w:p>
        </w:tc>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/api/v1/tax/summary?year=2026</w:t>
            </w:r>
          </w:p>
        </w:tc>
        <w:tc>
          <w:tcPr>
            <w:tcW w:type="dxa" w:w="4600"/>
            <w:shd w:fill="F2F6FA" w:val="clear"/>
            <w:tcMar>
              <w:top w:type="dxa" w:w="80"/>
              <w:left w:type="dxa" w:w="100"/>
              <w:bottom w:type="dxa" w:w="80"/>
              <w:right w:type="dxa" w:w="100"/>
            </w:tcMar>
            <w:vAlign w:val="center"/>
          </w:tcPr>
          <w:p>
            <w:pPr>
              <w:jc w:val="left"/>
            </w:pPr>
            <w:r>
              <w:rPr>
                <w:b w:val="false"/>
                <w:bCs w:val="false"/>
                <w:sz w:val="20"/>
                <w:szCs w:val="20"/>
              </w:rPr>
              <w:t xml:space="preserve">Progress pajak untuk widget dashboard. Contoh respons: {"current_gross":350000000.00,"limit":500000000.00,"percentage":70.0,"tax_payable":0.00}</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POST</w:t>
            </w:r>
          </w:p>
        </w:tc>
        <w:tc>
          <w:tcPr>
            <w:tcW w:type="dxa" w:w="3400"/>
            <w:tcMar>
              <w:top w:type="dxa" w:w="80"/>
              <w:left w:type="dxa" w:w="100"/>
              <w:bottom w:type="dxa" w:w="80"/>
              <w:right w:type="dxa" w:w="100"/>
            </w:tcMar>
            <w:vAlign w:val="center"/>
          </w:tcPr>
          <w:p>
            <w:pPr>
              <w:jc w:val="left"/>
            </w:pPr>
            <w:r>
              <w:rPr>
                <w:b w:val="false"/>
                <w:bCs w:val="false"/>
                <w:sz w:val="20"/>
                <w:szCs w:val="20"/>
              </w:rPr>
              <w:t xml:space="preserve">/api/v1/consultant/clients/invite</w:t>
            </w:r>
          </w:p>
        </w:tc>
        <w:tc>
          <w:tcPr>
            <w:tcW w:type="dxa" w:w="4600"/>
            <w:tcMar>
              <w:top w:type="dxa" w:w="80"/>
              <w:left w:type="dxa" w:w="100"/>
              <w:bottom w:type="dxa" w:w="80"/>
              <w:right w:type="dxa" w:w="100"/>
            </w:tcMar>
            <w:vAlign w:val="center"/>
          </w:tcPr>
          <w:p>
            <w:pPr>
              <w:jc w:val="left"/>
            </w:pPr>
            <w:r>
              <w:rPr>
                <w:b w:val="false"/>
                <w:bCs w:val="false"/>
                <w:sz w:val="20"/>
                <w:szCs w:val="20"/>
              </w:rPr>
              <w:t xml:space="preserve">Memicu undangan 1-Click Connect B2B. Payload: {"business_name":"Warung Bu Ana","phone_number":"628123456789"}</w:t>
            </w:r>
          </w:p>
        </w:tc>
      </w:tr>
      <w:tr>
        <w:tc>
          <w:tcPr>
            <w:tcW w:type="dxa" w:w="1200"/>
            <w:shd w:fill="F2F6FA" w:val="clear"/>
            <w:tcMar>
              <w:top w:type="dxa" w:w="80"/>
              <w:left w:type="dxa" w:w="100"/>
              <w:bottom w:type="dxa" w:w="80"/>
              <w:right w:type="dxa" w:w="100"/>
            </w:tcMar>
            <w:vAlign w:val="center"/>
          </w:tcPr>
          <w:p>
            <w:pPr>
              <w:jc w:val="left"/>
            </w:pPr>
            <w:r>
              <w:rPr>
                <w:b w:val="false"/>
                <w:bCs w:val="false"/>
                <w:sz w:val="20"/>
                <w:szCs w:val="20"/>
              </w:rPr>
              <w:t xml:space="preserve">POST</w:t>
            </w:r>
          </w:p>
        </w:tc>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/api/v1/export/batch-spt</w:t>
            </w:r>
          </w:p>
        </w:tc>
        <w:tc>
          <w:tcPr>
            <w:tcW w:type="dxa" w:w="4600"/>
            <w:shd w:fill="F2F6FA" w:val="clear"/>
            <w:tcMar>
              <w:top w:type="dxa" w:w="80"/>
              <w:left w:type="dxa" w:w="100"/>
              <w:bottom w:type="dxa" w:w="80"/>
              <w:right w:type="dxa" w:w="100"/>
            </w:tcMar>
            <w:vAlign w:val="center"/>
          </w:tcPr>
          <w:p>
            <w:pPr>
              <w:jc w:val="left"/>
            </w:pPr>
            <w:r>
              <w:rPr>
                <w:b w:val="false"/>
                <w:bCs w:val="false"/>
                <w:sz w:val="20"/>
                <w:szCs w:val="20"/>
              </w:rPr>
              <w:t xml:space="preserve">Ekspor massal Draf SPT oleh konsultan. Payload: {"client_ids":["uuid-1","uuid-2"],"period":"07-2026","format":"ZIP"}</w:t>
            </w:r>
          </w:p>
        </w:tc>
      </w:tr>
    </w:tbl>
    <w:p>
      <w:pPr>
        <w:pStyle w:val="Heading1"/>
        <w:spacing w:after="160" w:before="360"/>
      </w:pPr>
      <w:r>
        <w:t xml:space="preserve">10. Spesifikasi UI/UX (Multi-Tenancy Design)</w:t>
      </w:r>
    </w:p>
    <w:p>
      <w:pPr>
        <w:spacing w:after="160" w:line="276"/>
      </w:pPr>
      <w:r>
        <w:t xml:space="preserve">Tim Frontend wajib membangun dua tampilan dasbor yang sepenuhnya berbeda untuk mengakomodasi perbedaan ekstrem beban kognitif dan tujuan harian antara UMKM mandiri dan Konsultan Pajak profesional.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8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Dimensi</w:t>
            </w:r>
          </w:p>
        </w:tc>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Dashboard UMKM Mandiri</w:t>
            </w:r>
          </w:p>
        </w:tc>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Dashboard Konsultan Pajak (B2B)</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Fokus &amp; Persona</w:t>
            </w:r>
          </w:p>
        </w:tc>
        <w:tc>
          <w:tcPr>
            <w:tcW w:type="dxa" w:w="3800"/>
            <w:tcMar>
              <w:top w:type="dxa" w:w="80"/>
              <w:left w:type="dxa" w:w="100"/>
              <w:bottom w:type="dxa" w:w="80"/>
              <w:right w:type="dxa" w:w="100"/>
            </w:tcMar>
            <w:vAlign w:val="center"/>
          </w:tcPr>
          <w:p>
            <w:pPr>
              <w:jc w:val="left"/>
            </w:pPr>
            <w:r>
              <w:rPr>
                <w:b w:val="false"/>
                <w:bCs w:val="false"/>
                <w:sz w:val="20"/>
                <w:szCs w:val="20"/>
              </w:rPr>
              <w:t xml:space="preserve">Simplicity &amp; visual clarity; single-account view untuk 1 usaha</w:t>
            </w:r>
          </w:p>
        </w:tc>
        <w:tc>
          <w:tcPr>
            <w:tcW w:type="dxa" w:w="3800"/>
            <w:tcMar>
              <w:top w:type="dxa" w:w="80"/>
              <w:left w:type="dxa" w:w="100"/>
              <w:bottom w:type="dxa" w:w="80"/>
              <w:right w:type="dxa" w:w="100"/>
            </w:tcMar>
            <w:vAlign w:val="center"/>
          </w:tcPr>
          <w:p>
            <w:pPr>
              <w:jc w:val="left"/>
            </w:pPr>
            <w:r>
              <w:rPr>
                <w:b w:val="false"/>
                <w:bCs w:val="false"/>
                <w:sz w:val="20"/>
                <w:szCs w:val="20"/>
              </w:rPr>
              <w:t xml:space="preserve">Productivity &amp; bulk management; bird's-eye view untuk 20–50 klien</w:t>
            </w:r>
          </w:p>
        </w:tc>
      </w:tr>
      <w:tr>
        <w:tc>
          <w:tcPr>
            <w:tcW w:type="dxa" w:w="2200"/>
            <w:shd w:fill="F2F6FA" w:val="clear"/>
            <w:tcMar>
              <w:top w:type="dxa" w:w="80"/>
              <w:left w:type="dxa" w:w="100"/>
              <w:bottom w:type="dxa" w:w="80"/>
              <w:right w:type="dxa" w:w="100"/>
            </w:tcMar>
            <w:vAlign w:val="center"/>
          </w:tcPr>
          <w:p>
            <w:pPr>
              <w:jc w:val="left"/>
            </w:pPr>
            <w:r>
              <w:rPr>
                <w:b w:val="false"/>
                <w:bCs w:val="false"/>
                <w:sz w:val="20"/>
                <w:szCs w:val="20"/>
              </w:rPr>
              <w:t xml:space="preserve">Komponen Visual</w:t>
            </w:r>
          </w:p>
        </w:tc>
        <w:tc>
          <w:tcPr>
            <w:tcW w:type="dxa" w:w="3800"/>
            <w:shd w:fill="F2F6FA" w:val="clear"/>
            <w:tcMar>
              <w:top w:type="dxa" w:w="80"/>
              <w:left w:type="dxa" w:w="100"/>
              <w:bottom w:type="dxa" w:w="80"/>
              <w:right w:type="dxa" w:w="100"/>
            </w:tcMar>
            <w:vAlign w:val="center"/>
          </w:tcPr>
          <w:p>
            <w:pPr>
              <w:jc w:val="left"/>
            </w:pPr>
            <w:r>
              <w:rPr>
                <w:b w:val="false"/>
                <w:bCs w:val="false"/>
                <w:sz w:val="20"/>
                <w:szCs w:val="20"/>
              </w:rPr>
              <w:t xml:space="preserve">Progress bar PP 55/2022, pie chart arus kas, quick correction table</w:t>
            </w:r>
          </w:p>
        </w:tc>
        <w:tc>
          <w:tcPr>
            <w:tcW w:type="dxa" w:w="3800"/>
            <w:shd w:fill="F2F6FA" w:val="clear"/>
            <w:tcMar>
              <w:top w:type="dxa" w:w="80"/>
              <w:left w:type="dxa" w:w="100"/>
              <w:bottom w:type="dxa" w:w="80"/>
              <w:right w:type="dxa" w:w="100"/>
            </w:tcMar>
            <w:vAlign w:val="center"/>
          </w:tcPr>
          <w:p>
            <w:pPr>
              <w:jc w:val="left"/>
            </w:pPr>
            <w:r>
              <w:rPr>
                <w:b w:val="false"/>
                <w:bCs w:val="false"/>
                <w:sz w:val="20"/>
                <w:szCs w:val="20"/>
              </w:rPr>
              <w:t xml:space="preserve">Client traffic light status, anomaly alert feed, client switcher dropdown</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Aksi Harian &amp; Output</w:t>
            </w:r>
          </w:p>
        </w:tc>
        <w:tc>
          <w:tcPr>
            <w:tcW w:type="dxa" w:w="3800"/>
            <w:tcMar>
              <w:top w:type="dxa" w:w="80"/>
              <w:left w:type="dxa" w:w="100"/>
              <w:bottom w:type="dxa" w:w="80"/>
              <w:right w:type="dxa" w:w="100"/>
            </w:tcMar>
            <w:vAlign w:val="center"/>
          </w:tcPr>
          <w:p>
            <w:pPr>
              <w:jc w:val="left"/>
            </w:pPr>
            <w:r>
              <w:rPr>
                <w:b w:val="false"/>
                <w:bCs w:val="false"/>
                <w:sz w:val="20"/>
                <w:szCs w:val="20"/>
              </w:rPr>
              <w:t xml:space="preserve">Cek status omzet, unduh Draf SPT 1-klik, ekspor audit trail untuk KUR</w:t>
            </w:r>
          </w:p>
        </w:tc>
        <w:tc>
          <w:tcPr>
            <w:tcW w:type="dxa" w:w="3800"/>
            <w:tcMar>
              <w:top w:type="dxa" w:w="80"/>
              <w:left w:type="dxa" w:w="100"/>
              <w:bottom w:type="dxa" w:w="80"/>
              <w:right w:type="dxa" w:w="100"/>
            </w:tcMar>
            <w:vAlign w:val="center"/>
          </w:tcPr>
          <w:p>
            <w:pPr>
              <w:jc w:val="left"/>
            </w:pPr>
            <w:r>
              <w:rPr>
                <w:b w:val="false"/>
                <w:bCs w:val="false"/>
                <w:sz w:val="20"/>
                <w:szCs w:val="20"/>
              </w:rPr>
              <w:t xml:space="preserve">Batch export ZIP untuk 20–50 klien sekaligus, undang klien baru via WhatsApp</w:t>
            </w:r>
          </w:p>
        </w:tc>
      </w:tr>
      <w:tr>
        <w:tc>
          <w:tcPr>
            <w:tcW w:type="dxa" w:w="2200"/>
            <w:shd w:fill="F2F6FA" w:val="clear"/>
            <w:tcMar>
              <w:top w:type="dxa" w:w="80"/>
              <w:left w:type="dxa" w:w="100"/>
              <w:bottom w:type="dxa" w:w="80"/>
              <w:right w:type="dxa" w:w="100"/>
            </w:tcMar>
            <w:vAlign w:val="center"/>
          </w:tcPr>
          <w:p>
            <w:pPr>
              <w:jc w:val="left"/>
            </w:pPr>
            <w:r>
              <w:rPr>
                <w:b w:val="false"/>
                <w:bCs w:val="false"/>
                <w:sz w:val="20"/>
                <w:szCs w:val="20"/>
              </w:rPr>
              <w:t xml:space="preserve">Isolasi Keamanan Data</w:t>
            </w:r>
          </w:p>
        </w:tc>
        <w:tc>
          <w:tcPr>
            <w:tcW w:type="dxa" w:w="3800"/>
            <w:shd w:fill="F2F6FA" w:val="clear"/>
            <w:tcMar>
              <w:top w:type="dxa" w:w="80"/>
              <w:left w:type="dxa" w:w="100"/>
              <w:bottom w:type="dxa" w:w="80"/>
              <w:right w:type="dxa" w:w="100"/>
            </w:tcMar>
            <w:vAlign w:val="center"/>
          </w:tcPr>
          <w:p>
            <w:pPr>
              <w:jc w:val="left"/>
            </w:pPr>
            <w:r>
              <w:rPr>
                <w:b w:val="false"/>
                <w:bCs w:val="false"/>
                <w:sz w:val="20"/>
                <w:szCs w:val="20"/>
              </w:rPr>
              <w:t xml:space="preserve">Hanya akses data milik User ID/NPWP sendiri</w:t>
            </w:r>
          </w:p>
        </w:tc>
        <w:tc>
          <w:tcPr>
            <w:tcW w:type="dxa" w:w="3800"/>
            <w:shd w:fill="F2F6FA" w:val="clear"/>
            <w:tcMar>
              <w:top w:type="dxa" w:w="80"/>
              <w:left w:type="dxa" w:w="100"/>
              <w:bottom w:type="dxa" w:w="80"/>
              <w:right w:type="dxa" w:w="100"/>
            </w:tcMar>
            <w:vAlign w:val="center"/>
          </w:tcPr>
          <w:p>
            <w:pPr>
              <w:jc w:val="left"/>
            </w:pPr>
            <w:r>
              <w:rPr>
                <w:b w:val="false"/>
                <w:bCs w:val="false"/>
                <w:sz w:val="20"/>
                <w:szCs w:val="20"/>
              </w:rPr>
              <w:t xml:space="preserve">Dibatasi RLS PostgreSQL; tidak bisa melihat data klien konsultan lain</w:t>
            </w:r>
          </w:p>
        </w:tc>
      </w:tr>
    </w:tbl>
    <w:p>
      <w:pPr>
        <w:pStyle w:val="Heading1"/>
        <w:spacing w:after="160" w:before="360"/>
      </w:pPr>
      <w:r>
        <w:t xml:space="preserve">11. Non-Functional Requirements</w:t>
      </w:r>
    </w:p>
    <w:p>
      <w:pPr>
        <w:pStyle w:val="ListParagraph"/>
        <w:numPr>
          <w:ilvl w:val="0"/>
          <w:numId w:val="2"/>
        </w:numPr>
        <w:spacing w:after="80" w:line="276"/>
      </w:pPr>
      <w:r>
        <w:t xml:space="preserve">Latensi: seluruh proses I/O berat (rendering PDF massal, blast notifikasi) wajib dialihkan ke background worker agar latensi API utama tetap di bawah 200 milidetik.</w:t>
      </w:r>
    </w:p>
    <w:p>
      <w:pPr>
        <w:pStyle w:val="ListParagraph"/>
        <w:numPr>
          <w:ilvl w:val="0"/>
          <w:numId w:val="2"/>
        </w:numPr>
        <w:spacing w:after="80" w:line="276"/>
      </w:pPr>
      <w:r>
        <w:t xml:space="preserve">Skalabilitas: beban CPU dan RAM peladen utama dijaga di bawah 60% saat lonjakan trafik akhir bulan, melalui arsitektur pemrosesan asinkron dengan rate limiting.</w:t>
      </w:r>
    </w:p>
    <w:p>
      <w:pPr>
        <w:pStyle w:val="ListParagraph"/>
        <w:numPr>
          <w:ilvl w:val="0"/>
          <w:numId w:val="2"/>
        </w:numPr>
        <w:spacing w:after="80" w:line="276"/>
      </w:pPr>
      <w:r>
        <w:t xml:space="preserve">Keamanan: verifikasi signature pada webhook WAHA (X-WAHA-Signature); isolasi multi-tenant wajib di level database (RLS), bukan hanya di level aplikasi.</w:t>
      </w:r>
    </w:p>
    <w:p>
      <w:pPr>
        <w:pStyle w:val="ListParagraph"/>
        <w:numPr>
          <w:ilvl w:val="0"/>
          <w:numId w:val="2"/>
        </w:numPr>
        <w:spacing w:after="80" w:line="276"/>
      </w:pPr>
      <w:r>
        <w:t xml:space="preserve">Akurasi Finansial: kalkulasi omzet dan pajak wajib akurasi 100% tanpa pembulatan desimal meleset (NUMERIC(15,2), bukan FLOAT/DOUBLE).</w:t>
      </w:r>
    </w:p>
    <w:p>
      <w:pPr>
        <w:pStyle w:val="ListParagraph"/>
        <w:numPr>
          <w:ilvl w:val="0"/>
          <w:numId w:val="2"/>
        </w:numPr>
        <w:spacing w:after="80" w:line="276"/>
      </w:pPr>
      <w:r>
        <w:t xml:space="preserve">Auditability: seluruh aktivitas finansial tercatat immutable melalui hash chaining SHA-256 yang dapat diverifikasi integritasnya kapan saja.</w:t>
      </w:r>
    </w:p>
    <w:p>
      <w:pPr>
        <w:pStyle w:val="ListParagraph"/>
        <w:numPr>
          <w:ilvl w:val="0"/>
          <w:numId w:val="2"/>
        </w:numPr>
        <w:spacing w:after="80" w:line="276"/>
      </w:pPr>
      <w:r>
        <w:t xml:space="preserve">Ketersediaan Kanal: strategi Dual-Engine WAHA memastikan tidak ada downtime layanan saat transisi dari mesin Baileys ke Meta Cloud API (zero refactoring).</w:t>
      </w:r>
    </w:p>
    <w:p>
      <w:pPr>
        <w:pStyle w:val="ListParagraph"/>
        <w:numPr>
          <w:ilvl w:val="0"/>
          <w:numId w:val="2"/>
        </w:numPr>
        <w:spacing w:after="80" w:line="276"/>
      </w:pPr>
      <w:r>
        <w:t xml:space="preserve">Responsivitas UI: dashboard Next.js wajib responsif di ukuran layar desktop maupun mobile, dengan grafik yang ter-update otomatis secara real-time.</w:t>
      </w:r>
    </w:p>
    <w:p>
      <w:pPr>
        <w:pStyle w:val="Heading1"/>
        <w:spacing w:after="160" w:before="360"/>
      </w:pPr>
      <w:r>
        <w:t xml:space="preserve">12. Risiko Teknis &amp; Mitigasi (Rabbit Holes)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42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Risiko</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Deskripsi</w:t>
            </w:r>
          </w:p>
        </w:tc>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Mitigasi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Server down saat lonjakan trafik akhir bulan</w:t>
            </w:r>
          </w:p>
        </w:tc>
        <w:tc>
          <w:tcPr>
            <w:tcW w:type="dxa" w:w="3600"/>
            <w:tcMar>
              <w:top w:type="dxa" w:w="80"/>
              <w:left w:type="dxa" w:w="100"/>
              <w:bottom w:type="dxa" w:w="80"/>
              <w:right w:type="dxa" w:w="100"/>
            </w:tcMar>
            <w:vAlign w:val="center"/>
          </w:tcPr>
          <w:p>
            <w:pPr>
              <w:jc w:val="left"/>
            </w:pPr>
            <w:r>
              <w:rPr>
                <w:b w:val="false"/>
                <w:bCs w:val="false"/>
                <w:sz w:val="20"/>
                <w:szCs w:val="20"/>
              </w:rPr>
              <w:t xml:space="preserve">Ribuan UMKM mengakses laporan bersamaan; sistem memproses blast pengingat massal</w:t>
            </w:r>
          </w:p>
        </w:tc>
        <w:tc>
          <w:tcPr>
            <w:tcW w:type="dxa" w:w="4200"/>
            <w:tcMar>
              <w:top w:type="dxa" w:w="80"/>
              <w:left w:type="dxa" w:w="100"/>
              <w:bottom w:type="dxa" w:w="80"/>
              <w:right w:type="dxa" w:w="100"/>
            </w:tcMar>
            <w:vAlign w:val="center"/>
          </w:tcPr>
          <w:p>
            <w:pPr>
              <w:jc w:val="left"/>
            </w:pPr>
            <w:r>
              <w:rPr>
                <w:b w:val="false"/>
                <w:bCs w:val="false"/>
                <w:sz w:val="20"/>
                <w:szCs w:val="20"/>
              </w:rPr>
              <w:t xml:space="preserve">Arsitektur asinkron via Redis Queue; rendering PDF dan pengiriman pesan dieksekusi background worker dengan rate limiting; beban CPU/RAM dijaga &lt; 60%</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Pemblokiran nomor WhatsApp oleh sistem anti-spam Meta</w:t>
            </w:r>
          </w:p>
        </w:tc>
        <w:tc>
          <w:tcPr>
            <w:tcW w:type="dxa" w:w="3600"/>
            <w:shd w:fill="F2F6FA" w:val="clear"/>
            <w:tcMar>
              <w:top w:type="dxa" w:w="80"/>
              <w:left w:type="dxa" w:w="100"/>
              <w:bottom w:type="dxa" w:w="80"/>
              <w:right w:type="dxa" w:w="100"/>
            </w:tcMar>
            <w:vAlign w:val="center"/>
          </w:tcPr>
          <w:p>
            <w:pPr>
              <w:jc w:val="left"/>
            </w:pPr>
            <w:r>
              <w:rPr>
                <w:b w:val="false"/>
                <w:bCs w:val="false"/>
                <w:sz w:val="20"/>
                <w:szCs w:val="20"/>
              </w:rPr>
              <w:t xml:space="preserve">Pengiriman reminder massal H-7/H-3/H-1 berisiko memicu algoritma anti-spam</w:t>
            </w:r>
          </w:p>
        </w:tc>
        <w:tc>
          <w:tcPr>
            <w:tcW w:type="dxa" w:w="4200"/>
            <w:shd w:fill="F2F6FA" w:val="clear"/>
            <w:tcMar>
              <w:top w:type="dxa" w:w="80"/>
              <w:left w:type="dxa" w:w="100"/>
              <w:bottom w:type="dxa" w:w="80"/>
              <w:right w:type="dxa" w:w="100"/>
            </w:tcMar>
            <w:vAlign w:val="center"/>
          </w:tcPr>
          <w:p>
            <w:pPr>
              <w:jc w:val="left"/>
            </w:pPr>
            <w:r>
              <w:rPr>
                <w:b w:val="false"/>
                <w:bCs w:val="false"/>
                <w:sz w:val="20"/>
                <w:szCs w:val="20"/>
              </w:rPr>
              <w:t xml:space="preserve">Rate limiting (maks. 20 pesan/menit/nomor), jitter delay (3–12 detik), dynamic text variation; migrasi ke Meta Official Cloud API pada bulan ke-7 untuk hak kirim proaktif resmi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Kesalahan ketik (typo) input angka dari pengguna</w:t>
            </w:r>
          </w:p>
        </w:tc>
        <w:tc>
          <w:tcPr>
            <w:tcW w:type="dxa" w:w="3600"/>
            <w:tcMar>
              <w:top w:type="dxa" w:w="80"/>
              <w:left w:type="dxa" w:w="100"/>
              <w:bottom w:type="dxa" w:w="80"/>
              <w:right w:type="dxa" w:w="100"/>
            </w:tcMar>
            <w:vAlign w:val="center"/>
          </w:tcPr>
          <w:p>
            <w:pPr>
              <w:jc w:val="left"/>
            </w:pPr>
            <w:r>
              <w:rPr>
                <w:b w:val="false"/>
                <w:bCs w:val="false"/>
                <w:sz w:val="20"/>
                <w:szCs w:val="20"/>
              </w:rPr>
              <w:t xml:space="preserve">Pengguna salah ketik nominal (mis. Rp50.000 tertulis Rp500.000), merusak akurasi draf pajak</w:t>
            </w:r>
          </w:p>
        </w:tc>
        <w:tc>
          <w:tcPr>
            <w:tcW w:type="dxa" w:w="4200"/>
            <w:tcMar>
              <w:top w:type="dxa" w:w="80"/>
              <w:left w:type="dxa" w:w="100"/>
              <w:bottom w:type="dxa" w:w="80"/>
              <w:right w:type="dxa" w:w="100"/>
            </w:tcMar>
            <w:vAlign w:val="center"/>
          </w:tcPr>
          <w:p>
            <w:pPr>
              <w:jc w:val="left"/>
            </w:pPr>
            <w:r>
              <w:rPr>
                <w:b w:val="false"/>
                <w:bCs w:val="false"/>
                <w:sz w:val="20"/>
                <w:szCs w:val="20"/>
              </w:rPr>
              <w:t xml:space="preserve">Fitur konfirmasi interaktif mikro sebelum data di-commit permanen ke database, contoh: "Konfirmasi: Pencatatan Omzet Rp500.000? [Ketik YA atau BATAL]"</w:t>
            </w:r>
          </w:p>
        </w:tc>
      </w:tr>
    </w:tbl>
    <w:p>
      <w:pPr>
        <w:pStyle w:val="Heading1"/>
        <w:spacing w:after="160" w:before="360"/>
      </w:pPr>
      <w:r>
        <w:t xml:space="preserve">13. Rencana Eksekusi &amp; Milestone</w:t>
      </w:r>
    </w:p>
    <w:p>
      <w:pPr>
        <w:pStyle w:val="Heading2"/>
        <w:spacing w:after="120" w:before="260"/>
      </w:pPr>
      <w:r>
        <w:t xml:space="preserve">13.1 Phase 0 — Fondasi &amp; Sinkronisasi Awal (Hari 1–3)</w:t>
      </w:r>
    </w:p>
    <w:p>
      <w:pPr>
        <w:spacing w:after="160" w:line="276"/>
      </w:pPr>
      <w:r>
        <w:t xml:space="preserve">Dikerjakan bersama oleh Angga &amp; Tude sebelum berpisah ke domain masing-masing, untuk menghindari konflik kode:</w:t>
      </w:r>
    </w:p>
    <w:p>
      <w:pPr>
        <w:pStyle w:val="ListParagraph"/>
        <w:numPr>
          <w:ilvl w:val="0"/>
          <w:numId w:val="2"/>
        </w:numPr>
        <w:spacing w:after="80" w:line="276"/>
      </w:pPr>
      <w:r>
        <w:t xml:space="preserve">Desain skema database &amp; kebijakan RLS untuk tabel users, clients, transactions, tax_records, audit_logs.</w:t>
      </w:r>
    </w:p>
    <w:p>
      <w:pPr>
        <w:pStyle w:val="ListParagraph"/>
        <w:numPr>
          <w:ilvl w:val="0"/>
          <w:numId w:val="2"/>
        </w:numPr>
        <w:spacing w:after="80" w:line="276"/>
      </w:pPr>
      <w:r>
        <w:t xml:space="preserve">Penerapan kebijakan isolasi RLS standar (lihat bagian 8.2).</w:t>
      </w:r>
    </w:p>
    <w:p>
      <w:pPr>
        <w:pStyle w:val="ListParagraph"/>
        <w:numPr>
          <w:ilvl w:val="0"/>
          <w:numId w:val="2"/>
        </w:numPr>
        <w:spacing w:after="80" w:line="276"/>
      </w:pPr>
      <w:r>
        <w:t xml:space="preserve">Setup infrastruktur lokal via Docker Compose: Golang, Next.js, PostgreSQL, Redis, WAHA (engine Baileys) agar lingkungan dev identik antar-developer.</w:t>
      </w:r>
    </w:p>
    <w:p>
      <w:pPr>
        <w:pStyle w:val="Heading2"/>
        <w:spacing w:after="120" w:before="260"/>
      </w:pPr>
      <w:r>
        <w:t xml:space="preserve">13.2 Milestone Bulan 1–6 (MVP Beta)</w:t>
      </w:r>
    </w:p>
    <w:p>
      <w:pPr>
        <w:pStyle w:val="ListParagraph"/>
        <w:numPr>
          <w:ilvl w:val="0"/>
          <w:numId w:val="2"/>
        </w:numPr>
        <w:spacing w:after="80" w:line="276"/>
      </w:pPr>
      <w:r>
        <w:t xml:space="preserve">Domain Angga: WAHA webhook receiver &amp; regex parser, tax engine, audit trail hash chaining, PDF generator worker, anti-spam broadcast engine.</w:t>
      </w:r>
    </w:p>
    <w:p>
      <w:pPr>
        <w:pStyle w:val="ListParagraph"/>
        <w:numPr>
          <w:ilvl w:val="0"/>
          <w:numId w:val="2"/>
        </w:numPr>
        <w:spacing w:after="80" w:line="276"/>
      </w:pPr>
      <w:r>
        <w:t xml:space="preserve">Domain Tude: authentication &amp; RLS session binding, Portal UMKM Mandiri, Portal B2B Konsultan Pajak, 1-Click Connect onboarding, batch export.</w:t>
      </w:r>
    </w:p>
    <w:p>
      <w:pPr>
        <w:pStyle w:val="ListParagraph"/>
        <w:numPr>
          <w:ilvl w:val="0"/>
          <w:numId w:val="2"/>
        </w:numPr>
        <w:spacing w:after="80" w:line="276"/>
      </w:pPr>
      <w:r>
        <w:t xml:space="preserve">Target keluaran: 500 UMKM aktif, 10 mitra konsultan, MRR Rp27,5 Juta, efisiensi pelaporan &lt; 10 menit.</w:t>
      </w:r>
    </w:p>
    <w:p>
      <w:pPr>
        <w:pStyle w:val="Heading2"/>
        <w:spacing w:after="120" w:before="260"/>
      </w:pPr>
      <w:r>
        <w:t xml:space="preserve">13.3 Milestone Bulan 7–12 (Commercial Scaling)</w:t>
      </w:r>
    </w:p>
    <w:p>
      <w:pPr>
        <w:pStyle w:val="ListParagraph"/>
        <w:numPr>
          <w:ilvl w:val="0"/>
          <w:numId w:val="2"/>
        </w:numPr>
        <w:spacing w:after="80" w:line="276"/>
      </w:pPr>
      <w:r>
        <w:t xml:space="preserve">Migrasi WAHA dari mesin Baileys ke Meta Cloud API (perubahan environment variable, zero refactoring kode).</w:t>
      </w:r>
    </w:p>
    <w:p>
      <w:pPr>
        <w:pStyle w:val="ListParagraph"/>
        <w:numPr>
          <w:ilvl w:val="0"/>
          <w:numId w:val="2"/>
        </w:numPr>
        <w:spacing w:after="80" w:line="276"/>
      </w:pPr>
      <w:r>
        <w:t xml:space="preserve">Target keluaran: 1.500 UMKM aktif, 50 mitra konsultan, MRR Rp83,7 Juta (ARR ± Rp1,004 Miliar), efisiensi pelaporan maksimal 5 menit.</w:t>
      </w:r>
    </w:p>
    <w:p>
      <w:pPr>
        <w:pStyle w:val="Heading1"/>
        <w:spacing w:after="160" w:before="360"/>
      </w:pPr>
      <w:r>
        <w:t xml:space="preserve">14. Struktur Monetisasi (Referensi Bisnis)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60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Paket</w:t>
            </w:r>
          </w:p>
        </w:tc>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Harga</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Catatan</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Eceran / Mandiri (Starter)</w:t>
            </w:r>
          </w:p>
        </w:tc>
        <w:tc>
          <w:tcPr>
            <w:tcW w:type="dxa" w:w="3000"/>
            <w:tcMar>
              <w:top w:type="dxa" w:w="80"/>
              <w:left w:type="dxa" w:w="100"/>
              <w:bottom w:type="dxa" w:w="80"/>
              <w:right w:type="dxa" w:w="100"/>
            </w:tcMar>
            <w:vAlign w:val="center"/>
          </w:tcPr>
          <w:p>
            <w:pPr>
              <w:jc w:val="left"/>
            </w:pPr>
            <w:r>
              <w:rPr>
                <w:b w:val="false"/>
                <w:bCs w:val="false"/>
                <w:sz w:val="20"/>
                <w:szCs w:val="20"/>
              </w:rPr>
              <w:t xml:space="preserve">Rp79.000 / bulan / akun</w:t>
            </w:r>
          </w:p>
        </w:tc>
        <w:tc>
          <w:tcPr>
            <w:tcW w:type="dxa" w:w="3600"/>
            <w:tcMar>
              <w:top w:type="dxa" w:w="80"/>
              <w:left w:type="dxa" w:w="100"/>
              <w:bottom w:type="dxa" w:w="80"/>
              <w:right w:type="dxa" w:w="100"/>
            </w:tcMar>
            <w:vAlign w:val="center"/>
          </w:tcPr>
          <w:p>
            <w:pPr>
              <w:jc w:val="left"/>
            </w:pPr>
            <w:r>
              <w:rPr>
                <w:b w:val="false"/>
                <w:bCs w:val="false"/>
                <w:sz w:val="20"/>
                <w:szCs w:val="20"/>
              </w:rPr>
              <w:t xml:space="preserve">UMKM mendaftar langsung tanpa konsultan</w:t>
            </w:r>
          </w:p>
        </w:tc>
      </w:tr>
      <w:tr>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Grosir B2B — 20 Klien</w:t>
            </w:r>
          </w:p>
        </w:tc>
        <w:tc>
          <w:tcPr>
            <w:tcW w:type="dxa" w:w="3000"/>
            <w:shd w:fill="F2F6FA" w:val="clear"/>
            <w:tcMar>
              <w:top w:type="dxa" w:w="80"/>
              <w:left w:type="dxa" w:w="100"/>
              <w:bottom w:type="dxa" w:w="80"/>
              <w:right w:type="dxa" w:w="100"/>
            </w:tcMar>
            <w:vAlign w:val="center"/>
          </w:tcPr>
          <w:p>
            <w:pPr>
              <w:jc w:val="left"/>
            </w:pPr>
            <w:r>
              <w:rPr>
                <w:b w:val="false"/>
                <w:bCs w:val="false"/>
                <w:sz w:val="20"/>
                <w:szCs w:val="20"/>
              </w:rPr>
              <w:t xml:space="preserve">Rp60.000 / akun / bulan</w:t>
            </w:r>
          </w:p>
        </w:tc>
        <w:tc>
          <w:tcPr>
            <w:tcW w:type="dxa" w:w="3600"/>
            <w:shd w:fill="F2F6FA" w:val="clear"/>
            <w:tcMar>
              <w:top w:type="dxa" w:w="80"/>
              <w:left w:type="dxa" w:w="100"/>
              <w:bottom w:type="dxa" w:w="80"/>
              <w:right w:type="dxa" w:w="100"/>
            </w:tcMar>
            <w:vAlign w:val="center"/>
          </w:tcPr>
          <w:p>
            <w:pPr>
              <w:jc w:val="left"/>
            </w:pPr>
            <w:r>
              <w:rPr>
                <w:b w:val="false"/>
                <w:bCs w:val="false"/>
                <w:sz w:val="20"/>
                <w:szCs w:val="20"/>
              </w:rPr>
              <w:t xml:space="preserve">Lump-sum Rp1.200.000/bulan ke Pajakin.id</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Grosir B2B — 50 Klien</w:t>
            </w:r>
          </w:p>
        </w:tc>
        <w:tc>
          <w:tcPr>
            <w:tcW w:type="dxa" w:w="3000"/>
            <w:tcMar>
              <w:top w:type="dxa" w:w="80"/>
              <w:left w:type="dxa" w:w="100"/>
              <w:bottom w:type="dxa" w:w="80"/>
              <w:right w:type="dxa" w:w="100"/>
            </w:tcMar>
            <w:vAlign w:val="center"/>
          </w:tcPr>
          <w:p>
            <w:pPr>
              <w:jc w:val="left"/>
            </w:pPr>
            <w:r>
              <w:rPr>
                <w:b w:val="false"/>
                <w:bCs w:val="false"/>
                <w:sz w:val="20"/>
                <w:szCs w:val="20"/>
              </w:rPr>
              <w:t xml:space="preserve">Rp50.000 / akun / bulan</w:t>
            </w:r>
          </w:p>
        </w:tc>
        <w:tc>
          <w:tcPr>
            <w:tcW w:type="dxa" w:w="3600"/>
            <w:tcMar>
              <w:top w:type="dxa" w:w="80"/>
              <w:left w:type="dxa" w:w="100"/>
              <w:bottom w:type="dxa" w:w="80"/>
              <w:right w:type="dxa" w:w="100"/>
            </w:tcMar>
            <w:vAlign w:val="center"/>
          </w:tcPr>
          <w:p>
            <w:pPr>
              <w:jc w:val="left"/>
            </w:pPr>
            <w:r>
              <w:rPr>
                <w:b w:val="false"/>
                <w:bCs w:val="false"/>
                <w:sz w:val="20"/>
                <w:szCs w:val="20"/>
              </w:rPr>
              <w:t xml:space="preserve">Lump-sum Rp2.500.000/bulan ke Pajakin.id</w:t>
            </w:r>
          </w:p>
        </w:tc>
      </w:tr>
      <w:tr>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Grosir B2B — 100 Klien</w:t>
            </w:r>
          </w:p>
        </w:tc>
        <w:tc>
          <w:tcPr>
            <w:tcW w:type="dxa" w:w="3000"/>
            <w:shd w:fill="F2F6FA" w:val="clear"/>
            <w:tcMar>
              <w:top w:type="dxa" w:w="80"/>
              <w:left w:type="dxa" w:w="100"/>
              <w:bottom w:type="dxa" w:w="80"/>
              <w:right w:type="dxa" w:w="100"/>
            </w:tcMar>
            <w:vAlign w:val="center"/>
          </w:tcPr>
          <w:p>
            <w:pPr>
              <w:jc w:val="left"/>
            </w:pPr>
            <w:r>
              <w:rPr>
                <w:b w:val="false"/>
                <w:bCs w:val="false"/>
                <w:sz w:val="20"/>
                <w:szCs w:val="20"/>
              </w:rPr>
              <w:t xml:space="preserve">Rp40.000 / akun / bulan</w:t>
            </w:r>
          </w:p>
        </w:tc>
        <w:tc>
          <w:tcPr>
            <w:tcW w:type="dxa" w:w="3600"/>
            <w:shd w:fill="F2F6FA" w:val="clear"/>
            <w:tcMar>
              <w:top w:type="dxa" w:w="80"/>
              <w:left w:type="dxa" w:w="100"/>
              <w:bottom w:type="dxa" w:w="80"/>
              <w:right w:type="dxa" w:w="100"/>
            </w:tcMar>
            <w:vAlign w:val="center"/>
          </w:tcPr>
          <w:p>
            <w:pPr>
              <w:jc w:val="left"/>
            </w:pPr>
            <w:r>
              <w:rPr>
                <w:b w:val="false"/>
                <w:bCs w:val="false"/>
                <w:sz w:val="20"/>
                <w:szCs w:val="20"/>
              </w:rPr>
              <w:t xml:space="preserve">Lump-sum Rp4.000.000/bulan ke Pajakin.id</w:t>
            </w:r>
          </w:p>
        </w:tc>
      </w:tr>
    </w:tbl>
    <w:p>
      <w:pPr>
        <w:spacing w:after="160" w:line="276"/>
      </w:pPr>
      <w:r>
        <w:t xml:space="preserve">Konsultan dapat meraih margin tambahan melalui dua model: (1) Model Markup — membeli lisensi Rp50.000/akun lalu menagih klien Rp79.000/bulan (margin Rp29.000/klien); atau (2) Model Bundling Jasa — memasukkan biaya software ke paket jasa konsultasi bulanan mereka.</w:t>
      </w:r>
    </w:p>
    <w:p>
      <w:pPr>
        <w:pStyle w:val="Heading1"/>
        <w:spacing w:after="160" w:before="360"/>
      </w:pPr>
      <w:r>
        <w:t xml:space="preserve">15. Definition of Done (Checklist Penyelesaian Modul)</w:t>
      </w:r>
    </w:p>
    <w:p>
      <w:pPr>
        <w:spacing w:after="160" w:line="276"/>
      </w:pPr>
      <w:r>
        <w:t xml:space="preserve">Sebuah modul fitur baru dianggap selesai (Done) oleh Angga dan Tude hanya jika memenuhi seluruh kriteria berikut:</w:t>
      </w:r>
    </w:p>
    <w:p>
      <w:pPr>
        <w:pStyle w:val="ListParagraph"/>
        <w:numPr>
          <w:ilvl w:val="0"/>
          <w:numId w:val="3"/>
        </w:numPr>
        <w:spacing w:after="80" w:line="276"/>
      </w:pPr>
      <w:r>
        <w:t xml:space="preserve">Database Verified — skema tabel menggunakan NUMERIC(15,2) dan kebijakan RLS telah terpasang serta diuji tidak bocor lintas tenant.</w:t>
      </w:r>
    </w:p>
    <w:p>
      <w:pPr>
        <w:pStyle w:val="ListParagraph"/>
        <w:numPr>
          <w:ilvl w:val="0"/>
          <w:numId w:val="3"/>
        </w:numPr>
        <w:spacing w:after="80" w:line="276"/>
      </w:pPr>
      <w:r>
        <w:t xml:space="preserve">Deterministic &amp; Accurate — perhitungan omzet dan pajak telah dicek manual dan algoritmik, menghasilkan akurasi 100% tanpa pembulatan desimal meleset.</w:t>
      </w:r>
    </w:p>
    <w:p>
      <w:pPr>
        <w:pStyle w:val="ListParagraph"/>
        <w:numPr>
          <w:ilvl w:val="0"/>
          <w:numId w:val="3"/>
        </w:numPr>
        <w:spacing w:after="80" w:line="276"/>
      </w:pPr>
      <w:r>
        <w:t xml:space="preserve">Asynchronous Safe — tugas yang memakan waktu eksekusi di atas 300 milidetik (generate PDF, kirim pesan WAHA) telah berhasil dijalankan melalui Redis Queue.</w:t>
      </w:r>
    </w:p>
    <w:p>
      <w:pPr>
        <w:pStyle w:val="ListParagraph"/>
        <w:numPr>
          <w:ilvl w:val="0"/>
          <w:numId w:val="3"/>
        </w:numPr>
        <w:spacing w:after="80" w:line="276"/>
      </w:pPr>
      <w:r>
        <w:t xml:space="preserve">UI/UX Responsive &amp; Real-time — tampilan dasbor Next.js responsif di desktop maupun mobile, dan grafik arus kas ter-update otomatis saat pesan WhatsApp masuk.</w:t>
      </w:r>
    </w:p>
    <w:p>
      <w:pPr>
        <w:pStyle w:val="Heading1"/>
        <w:spacing w:after="160" w:before="360"/>
      </w:pPr>
      <w:r>
        <w:t xml:space="preserve">16. Glosarium</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600"/>
        <w:gridCol w:w="86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Istilah</w:t>
            </w:r>
          </w:p>
        </w:tc>
        <w:tc>
          <w:tcPr>
            <w:tcW w:type="dxa" w:w="8600"/>
            <w:shd w:fill="1F3864" w:val="clear"/>
            <w:tcMar>
              <w:top w:type="dxa" w:w="80"/>
              <w:left w:type="dxa" w:w="100"/>
              <w:bottom w:type="dxa" w:w="80"/>
              <w:right w:type="dxa" w:w="100"/>
            </w:tcMar>
            <w:vAlign w:val="center"/>
          </w:tcPr>
          <w:p>
            <w:pPr>
              <w:jc w:val="left"/>
            </w:pPr>
            <w:r>
              <w:rPr>
                <w:b/>
                <w:bCs/>
                <w:color w:val="FFFFFF"/>
                <w:sz w:val="20"/>
                <w:szCs w:val="20"/>
              </w:rPr>
              <w:t xml:space="preserve">Definisi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PP 55/2022</w:t>
            </w:r>
          </w:p>
        </w:tc>
        <w:tc>
          <w:tcPr>
            <w:tcW w:type="dxa" w:w="8600"/>
            <w:tcMar>
              <w:top w:type="dxa" w:w="80"/>
              <w:left w:type="dxa" w:w="100"/>
              <w:bottom w:type="dxa" w:w="80"/>
              <w:right w:type="dxa" w:w="100"/>
            </w:tcMar>
            <w:vAlign w:val="center"/>
          </w:tcPr>
          <w:p>
            <w:pPr>
              <w:jc w:val="left"/>
            </w:pPr>
            <w:r>
              <w:rPr>
                <w:b w:val="false"/>
                <w:bCs w:val="false"/>
                <w:sz w:val="20"/>
                <w:szCs w:val="20"/>
              </w:rPr>
              <w:t xml:space="preserve">Peraturan Pemerintah yang mengatur pembebasan pajak omzet hingga Rp500 juta/tahun bagi UMKM orang pribadi, dan tarif PPh Final 0,5% setelahnya</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WAHA</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WhatsApp HTTP API — API Gateway wrapper yang menjembatani backend Golang dengan ekosistem WhatsApp (mendukung mesin Baileys/unofficial dan Meta Cloud API/official)</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RLS</w:t>
            </w:r>
          </w:p>
        </w:tc>
        <w:tc>
          <w:tcPr>
            <w:tcW w:type="dxa" w:w="8600"/>
            <w:tcMar>
              <w:top w:type="dxa" w:w="80"/>
              <w:left w:type="dxa" w:w="100"/>
              <w:bottom w:type="dxa" w:w="80"/>
              <w:right w:type="dxa" w:w="100"/>
            </w:tcMar>
            <w:vAlign w:val="center"/>
          </w:tcPr>
          <w:p>
            <w:pPr>
              <w:jc w:val="left"/>
            </w:pPr>
            <w:r>
              <w:rPr>
                <w:b w:val="false"/>
                <w:bCs w:val="false"/>
                <w:sz w:val="20"/>
                <w:szCs w:val="20"/>
              </w:rPr>
              <w:t xml:space="preserve">Row-Level Security — fitur PostgreSQL untuk isolasi data antar-tenant di level database</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Audit Trail</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Rekam jejak transaksi historis yang immutable, digunakan sebagai syarat administrasi pengajuan KUR</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KUR</w:t>
            </w:r>
          </w:p>
        </w:tc>
        <w:tc>
          <w:tcPr>
            <w:tcW w:type="dxa" w:w="8600"/>
            <w:tcMar>
              <w:top w:type="dxa" w:w="80"/>
              <w:left w:type="dxa" w:w="100"/>
              <w:bottom w:type="dxa" w:w="80"/>
              <w:right w:type="dxa" w:w="100"/>
            </w:tcMar>
            <w:vAlign w:val="center"/>
          </w:tcPr>
          <w:p>
            <w:pPr>
              <w:jc w:val="left"/>
            </w:pPr>
            <w:r>
              <w:rPr>
                <w:b w:val="false"/>
                <w:bCs w:val="false"/>
                <w:sz w:val="20"/>
                <w:szCs w:val="20"/>
              </w:rPr>
              <w:t xml:space="preserve">Kredit Usaha Rakyat — skema pinjaman modal usaha dari perbankan bagi UMKM</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Hash Chaining</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Teknik mengaitkan hash setiap baris data dengan hash baris sebelumnya agar perubahan ilegal dapat terdeteksi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MRR / ARR</w:t>
            </w:r>
          </w:p>
        </w:tc>
        <w:tc>
          <w:tcPr>
            <w:tcW w:type="dxa" w:w="8600"/>
            <w:tcMar>
              <w:top w:type="dxa" w:w="80"/>
              <w:left w:type="dxa" w:w="100"/>
              <w:bottom w:type="dxa" w:w="80"/>
              <w:right w:type="dxa" w:w="100"/>
            </w:tcMar>
            <w:vAlign w:val="center"/>
          </w:tcPr>
          <w:p>
            <w:pPr>
              <w:jc w:val="left"/>
            </w:pPr>
            <w:r>
              <w:rPr>
                <w:b w:val="false"/>
                <w:bCs w:val="false"/>
                <w:sz w:val="20"/>
                <w:szCs w:val="20"/>
              </w:rPr>
              <w:t xml:space="preserve">Monthly / Annual Recurring Revenue — pendapatan berulang bulanan/tahunan</w:t>
            </w:r>
          </w:p>
        </w:tc>
      </w:tr>
    </w:tbl>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Pajakin.id — PRD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Pajakin.id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2026-07-17T02:42:54.510Z</dcterms:created>
  <dcterms:modified xsi:type="dcterms:W3CDTF">2026-07-17T02:42:54.535Z</dcterms:modified>
</cp:coreProperties>
</file>

<file path=docProps/custom.xml><?xml version="1.0" encoding="utf-8"?>
<Properties xmlns="http://schemas.openxmlformats.org/officeDocument/2006/custom-properties" xmlns:vt="http://schemas.openxmlformats.org/officeDocument/2006/docPropsVTypes"/>
</file>