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D5514">
      <w:pPr>
        <w:spacing w:line="240" w:lineRule="auto"/>
        <w:jc w:val="center"/>
        <w:rPr>
          <w:rFonts w:hint="default" w:ascii="Times New Roman Regular" w:hAnsi="Times New Roman Regular" w:cs="Times New Roman Regular"/>
          <w:b w:val="0"/>
          <w:bCs w:val="0"/>
          <w:sz w:val="40"/>
          <w:szCs w:val="40"/>
        </w:rPr>
      </w:pPr>
      <w:r>
        <w:rPr>
          <w:rFonts w:hint="default" w:ascii="Times New Roman Regular" w:hAnsi="Times New Roman Regular" w:cs="Times New Roman Regular"/>
          <w:b w:val="0"/>
          <w:bCs w:val="0"/>
          <w:sz w:val="40"/>
          <w:szCs w:val="40"/>
        </w:rPr>
        <w:t>Data Quality Plan (DQP)</w:t>
      </w:r>
    </w:p>
    <w:p w14:paraId="3D629058">
      <w:pPr>
        <w:spacing w:line="240" w:lineRule="auto"/>
        <w:rPr>
          <w:rFonts w:hint="default" w:ascii="Times New Roman Regular" w:hAnsi="Times New Roman Regular" w:cs="Times New Roman Regular"/>
          <w:sz w:val="22"/>
          <w:szCs w:val="22"/>
        </w:rPr>
      </w:pPr>
    </w:p>
    <w:p w14:paraId="716F35C4">
      <w:pPr>
        <w:numPr>
          <w:ilvl w:val="0"/>
          <w:numId w:val="1"/>
        </w:num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Introduction</w:t>
      </w:r>
    </w:p>
    <w:p w14:paraId="334AE4CC">
      <w:p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 xml:space="preserve">The purpose of this Data Quality Plan is to document the cleaning strategy applied to the raw training dataset, </w:t>
      </w:r>
      <w:r>
        <w:rPr>
          <w:rFonts w:hint="default" w:ascii="Times New Roman Regular" w:hAnsi="Times New Roman Regular" w:eastAsia="SimSun" w:cs="Times New Roman Regular"/>
          <w:i/>
          <w:iCs/>
          <w:sz w:val="22"/>
          <w:szCs w:val="22"/>
          <w:lang w:val="en-GB"/>
        </w:rPr>
        <w:t>ppr-group-24209891-train.csv</w:t>
      </w:r>
      <w:r>
        <w:rPr>
          <w:rFonts w:hint="default" w:ascii="Times New Roman Regular" w:hAnsi="Times New Roman Regular" w:eastAsia="Times New Roman" w:cs="Times New Roman Regular"/>
          <w:sz w:val="22"/>
          <w:szCs w:val="22"/>
          <w:lang w:val="en-GB"/>
        </w:rPr>
        <w:t>, and to justify the decisions taken for each important feature. The aim is not only to correct technical issues in the data, but also to ensure that the retained variables are appropriate for later exploratory analysis, feature engineering, and predictive modelling.</w:t>
      </w:r>
    </w:p>
    <w:p w14:paraId="5B38371B">
      <w:p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The cleaning strategy was designed to preserve as much useful information as possible while avoiding low-quality or weakly informative variables in the clean-final dataset. Where a feature was too incomplete or unsuitable for direct use, it was removed from the clean-final output and, where relevant, replaced later by a more robust engineered alternative.</w:t>
      </w:r>
    </w:p>
    <w:p w14:paraId="75EEC1D9">
      <w:pPr>
        <w:numPr>
          <w:ilvl w:val="253"/>
          <w:numId w:val="0"/>
        </w:numPr>
        <w:spacing w:line="240" w:lineRule="auto"/>
        <w:rPr>
          <w:rFonts w:hint="default" w:ascii="Times New Roman Regular" w:hAnsi="Times New Roman Regular" w:cs="Times New Roman Regular"/>
          <w:sz w:val="22"/>
          <w:szCs w:val="22"/>
          <w:lang w:val="en-GB"/>
        </w:rPr>
      </w:pPr>
    </w:p>
    <w:p w14:paraId="3F073DD0">
      <w:pPr>
        <w:numPr>
          <w:ilvl w:val="0"/>
          <w:numId w:val="1"/>
        </w:num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Initial Data Audit</w:t>
      </w:r>
    </w:p>
    <w:p w14:paraId="5A3C9F9A">
      <w:pPr>
        <w:spacing w:line="240" w:lineRule="auto"/>
        <w:rPr>
          <w:rFonts w:hint="default" w:ascii="Times New Roman Regular" w:hAnsi="Times New Roman Regular" w:cs="Times New Roman Regular"/>
          <w:sz w:val="22"/>
          <w:szCs w:val="22"/>
        </w:rPr>
      </w:pPr>
    </w:p>
    <w:p w14:paraId="7CFE7672">
      <w:p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The initial audit of the raw training dataset identified several recurring data quality problems.</w:t>
      </w:r>
    </w:p>
    <w:p w14:paraId="4912DD5D">
      <w:p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 xml:space="preserve">First, structural issues were present in the form of leading and trailing whitespace in column headers. </w:t>
      </w:r>
      <w:bookmarkStart w:id="0" w:name="_GoBack"/>
      <w:bookmarkEnd w:id="0"/>
      <w:r>
        <w:rPr>
          <w:rFonts w:hint="default" w:ascii="Times New Roman Regular" w:hAnsi="Times New Roman Regular" w:eastAsia="Times New Roman" w:cs="Times New Roman Regular"/>
          <w:sz w:val="22"/>
          <w:szCs w:val="22"/>
          <w:lang w:val="en-GB"/>
        </w:rPr>
        <w:t xml:space="preserve">Second, the target variable </w:t>
      </w:r>
      <w:r>
        <w:rPr>
          <w:rFonts w:hint="default" w:ascii="Times New Roman Regular" w:hAnsi="Times New Roman Regular" w:eastAsia="SimSun" w:cs="Times New Roman Regular"/>
          <w:b/>
          <w:bCs/>
          <w:sz w:val="22"/>
          <w:szCs w:val="22"/>
          <w:lang w:val="en-GB"/>
        </w:rPr>
        <w:t>Price (€)</w:t>
      </w:r>
      <w:r>
        <w:rPr>
          <w:rFonts w:hint="default" w:ascii="Times New Roman Regular" w:hAnsi="Times New Roman Regular" w:eastAsia="Times New Roman" w:cs="Times New Roman Regular"/>
          <w:sz w:val="22"/>
          <w:szCs w:val="22"/>
          <w:lang w:val="en-GB"/>
        </w:rPr>
        <w:t xml:space="preserve"> was stored as a text field rather than as a numeric variable. Third, duplicated rows were present in the raw data and required removal. Fourth, the dataset contained substantial missingness in several features, most notably </w:t>
      </w:r>
      <w:r>
        <w:rPr>
          <w:rFonts w:hint="default" w:ascii="Times New Roman Regular" w:hAnsi="Times New Roman Regular" w:eastAsia="SimSun" w:cs="Times New Roman Regular"/>
          <w:sz w:val="22"/>
          <w:szCs w:val="22"/>
          <w:lang w:val="en-GB"/>
        </w:rPr>
        <w:t>Eircode</w:t>
      </w:r>
      <w:r>
        <w:rPr>
          <w:rFonts w:hint="default" w:ascii="Times New Roman Regular" w:hAnsi="Times New Roman Regular" w:eastAsia="Times New Roman" w:cs="Times New Roman Regular"/>
          <w:sz w:val="22"/>
          <w:szCs w:val="22"/>
          <w:lang w:val="en-GB"/>
        </w:rPr>
        <w:t xml:space="preserve"> and </w:t>
      </w:r>
      <w:r>
        <w:rPr>
          <w:rFonts w:hint="default" w:ascii="Times New Roman Regular" w:hAnsi="Times New Roman Regular" w:eastAsia="SimSun" w:cs="Times New Roman Regular"/>
          <w:sz w:val="22"/>
          <w:szCs w:val="22"/>
          <w:lang w:val="en-GB"/>
        </w:rPr>
        <w:t>Property Size Description</w:t>
      </w:r>
      <w:r>
        <w:rPr>
          <w:rFonts w:hint="default" w:ascii="Times New Roman Regular" w:hAnsi="Times New Roman Regular" w:eastAsia="Times New Roman" w:cs="Times New Roman Regular"/>
          <w:sz w:val="22"/>
          <w:szCs w:val="22"/>
          <w:lang w:val="en-GB"/>
        </w:rPr>
        <w:t xml:space="preserve">. </w:t>
      </w:r>
      <w:r>
        <w:rPr>
          <w:rFonts w:hint="default" w:ascii="Times New Roman Regular" w:hAnsi="Times New Roman Regular" w:eastAsia="Times New Roman" w:cs="Times New Roman Regular"/>
          <w:sz w:val="22"/>
          <w:szCs w:val="22"/>
          <w:lang w:val="en-GB"/>
        </w:rPr>
        <w:t>A critical structural deficiency was identified during the initial inspection: the raw dataset completely lacks spatial coordinates (Latitude and Longitude). While the Eircode field is present, its high missingness rate (23.03%) makes it an unreliable primary source for spatial analysis. Consequently, external geocoding is required to make the dataset suitable for location-based modeling.</w:t>
      </w:r>
      <w:r>
        <w:rPr>
          <w:rFonts w:hint="default" w:ascii="Times New Roman Regular" w:hAnsi="Times New Roman Regular" w:eastAsia="SimSun" w:cs="Times New Roman Regular"/>
          <w:sz w:val="22"/>
          <w:szCs w:val="22"/>
          <w:lang w:val="en-US" w:eastAsia="zh-CN"/>
        </w:rPr>
        <w:t xml:space="preserve"> </w:t>
      </w:r>
      <w:r>
        <w:rPr>
          <w:rFonts w:hint="default" w:ascii="Times New Roman Regular" w:hAnsi="Times New Roman Regular" w:eastAsia="Times New Roman" w:cs="Times New Roman Regular"/>
          <w:sz w:val="22"/>
          <w:szCs w:val="22"/>
          <w:lang w:val="en-GB"/>
        </w:rPr>
        <w:t>Finally, some categorical fields required standardisation before they could be safely encoded for modelling.</w:t>
      </w:r>
    </w:p>
    <w:p w14:paraId="73C30C7A">
      <w:p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These findings motivated a cleaning plan based on four principles:</w:t>
      </w:r>
    </w:p>
    <w:p w14:paraId="1CC2A067">
      <w:pPr>
        <w:numPr>
          <w:ilvl w:val="0"/>
          <w:numId w:val="2"/>
        </w:num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standardise all structural formatting first;</w:t>
      </w:r>
    </w:p>
    <w:p w14:paraId="71906176">
      <w:pPr>
        <w:numPr>
          <w:ilvl w:val="0"/>
          <w:numId w:val="2"/>
        </w:num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remove redundant or very high-missingness fields where justified;</w:t>
      </w:r>
    </w:p>
    <w:p w14:paraId="4AF7E819">
      <w:pPr>
        <w:numPr>
          <w:ilvl w:val="0"/>
          <w:numId w:val="2"/>
        </w:num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transform retained fields into appropriate data types;</w:t>
      </w:r>
    </w:p>
    <w:p w14:paraId="238FE711">
      <w:pPr>
        <w:numPr>
          <w:ilvl w:val="0"/>
          <w:numId w:val="2"/>
        </w:num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export a clean-final dataset with no missing values in the retained modelling features.</w:t>
      </w:r>
    </w:p>
    <w:p w14:paraId="571A25E3">
      <w:pPr>
        <w:spacing w:line="240" w:lineRule="auto"/>
        <w:rPr>
          <w:rFonts w:hint="default" w:ascii="Times New Roman Regular" w:hAnsi="Times New Roman Regular" w:cs="Times New Roman Regular"/>
          <w:b/>
          <w:bCs/>
          <w:sz w:val="22"/>
          <w:szCs w:val="22"/>
          <w:lang w:val="en-GB"/>
        </w:rPr>
      </w:pPr>
    </w:p>
    <w:p w14:paraId="3DA80E4B">
      <w:pPr>
        <w:numPr>
          <w:ilvl w:val="0"/>
          <w:numId w:val="1"/>
        </w:num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Feature Decision Table</w:t>
      </w:r>
    </w:p>
    <w:p w14:paraId="0EFFE305">
      <w:pPr>
        <w:spacing w:line="240" w:lineRule="auto"/>
        <w:rPr>
          <w:rFonts w:hint="default" w:ascii="Times New Roman Regular" w:hAnsi="Times New Roman Regular" w:cs="Times New Roman Regular"/>
          <w:b/>
          <w:bCs/>
          <w:sz w:val="22"/>
          <w:szCs w:val="22"/>
        </w:rPr>
      </w:pPr>
    </w:p>
    <w:p w14:paraId="1CC5CF91">
      <w:pPr>
        <w:spacing w:line="240" w:lineRule="auto"/>
        <w:rPr>
          <w:rFonts w:hint="default" w:ascii="Times New Roman Regular" w:hAnsi="Times New Roman Regular" w:cs="Times New Roman Regular"/>
          <w:b/>
          <w:bCs/>
          <w:sz w:val="22"/>
          <w:szCs w:val="22"/>
        </w:rPr>
      </w:pPr>
    </w:p>
    <w:tbl>
      <w:tblPr>
        <w:tblStyle w:val="1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1592"/>
        <w:gridCol w:w="1746"/>
        <w:gridCol w:w="1802"/>
        <w:gridCol w:w="1739"/>
        <w:gridCol w:w="1643"/>
      </w:tblGrid>
      <w:tr w14:paraId="253CD566">
        <w:tc>
          <w:tcPr>
            <w:tcW w:w="1592" w:type="dxa"/>
            <w:tcBorders>
              <w:bottom w:val="single" w:color="666666" w:themeColor="text1" w:themeTint="99" w:sz="12" w:space="0"/>
              <w:insideH w:val="single" w:sz="12" w:space="0"/>
            </w:tcBorders>
          </w:tcPr>
          <w:p w14:paraId="5D69092E">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Feature Name</w:t>
            </w:r>
          </w:p>
        </w:tc>
        <w:tc>
          <w:tcPr>
            <w:tcW w:w="1746" w:type="dxa"/>
            <w:tcBorders>
              <w:bottom w:val="single" w:color="666666" w:themeColor="text1" w:themeTint="99" w:sz="12" w:space="0"/>
              <w:insideH w:val="single" w:sz="12" w:space="0"/>
            </w:tcBorders>
          </w:tcPr>
          <w:p w14:paraId="2192232C">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Final Data Type</w:t>
            </w:r>
          </w:p>
        </w:tc>
        <w:tc>
          <w:tcPr>
            <w:tcW w:w="1802" w:type="dxa"/>
            <w:tcBorders>
              <w:bottom w:val="single" w:color="666666" w:themeColor="text1" w:themeTint="99" w:sz="12" w:space="0"/>
              <w:insideH w:val="single" w:sz="12" w:space="0"/>
            </w:tcBorders>
          </w:tcPr>
          <w:p w14:paraId="7E5C1351">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Identified Issues</w:t>
            </w:r>
          </w:p>
        </w:tc>
        <w:tc>
          <w:tcPr>
            <w:tcW w:w="1739" w:type="dxa"/>
            <w:tcBorders>
              <w:bottom w:val="single" w:color="666666" w:themeColor="text1" w:themeTint="99" w:sz="12" w:space="0"/>
              <w:insideH w:val="single" w:sz="12" w:space="0"/>
            </w:tcBorders>
          </w:tcPr>
          <w:p w14:paraId="2D5DFD71">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Solution Applied</w:t>
            </w:r>
          </w:p>
        </w:tc>
        <w:tc>
          <w:tcPr>
            <w:tcW w:w="1643" w:type="dxa"/>
            <w:tcBorders>
              <w:bottom w:val="single" w:color="666666" w:themeColor="text1" w:themeTint="99" w:sz="12" w:space="0"/>
              <w:insideH w:val="single" w:sz="12" w:space="0"/>
            </w:tcBorders>
          </w:tcPr>
          <w:p w14:paraId="09D0AB00">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Justification</w:t>
            </w:r>
          </w:p>
        </w:tc>
      </w:tr>
      <w:tr w14:paraId="0B51FC43">
        <w:tc>
          <w:tcPr>
            <w:tcW w:w="1592" w:type="dxa"/>
          </w:tcPr>
          <w:p w14:paraId="29D37EF3">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row_id</w:t>
            </w:r>
          </w:p>
        </w:tc>
        <w:tc>
          <w:tcPr>
            <w:tcW w:w="1746" w:type="dxa"/>
          </w:tcPr>
          <w:p w14:paraId="31BA0266">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Integer</w:t>
            </w:r>
          </w:p>
        </w:tc>
        <w:tc>
          <w:tcPr>
            <w:tcW w:w="1802" w:type="dxa"/>
          </w:tcPr>
          <w:p w14:paraId="47FADFE4">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Not part of raw source structure; added during processing</w:t>
            </w:r>
          </w:p>
        </w:tc>
        <w:tc>
          <w:tcPr>
            <w:tcW w:w="1739" w:type="dxa"/>
          </w:tcPr>
          <w:p w14:paraId="191840F7">
            <w:pPr>
              <w:spacing w:line="240" w:lineRule="auto"/>
              <w:rPr>
                <w:rFonts w:hint="default" w:ascii="Times New Roman Regular" w:hAnsi="Times New Roman Regular" w:cs="Times New Roman Regular"/>
                <w:sz w:val="22"/>
                <w:szCs w:val="22"/>
              </w:rPr>
            </w:pPr>
          </w:p>
          <w:p w14:paraId="7E6C09B0">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Added after duplicate removal</w:t>
            </w:r>
          </w:p>
        </w:tc>
        <w:tc>
          <w:tcPr>
            <w:tcW w:w="1643" w:type="dxa"/>
          </w:tcPr>
          <w:p w14:paraId="11BC994E">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Preserves row alignment for later merging and feature engineering</w:t>
            </w:r>
          </w:p>
        </w:tc>
      </w:tr>
      <w:tr w14:paraId="02C7DBAB">
        <w:tc>
          <w:tcPr>
            <w:tcW w:w="1592" w:type="dxa"/>
          </w:tcPr>
          <w:p w14:paraId="63474F49">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Date of Sale (dd/mm/yyyy)</w:t>
            </w:r>
          </w:p>
        </w:tc>
        <w:tc>
          <w:tcPr>
            <w:tcW w:w="1746" w:type="dxa"/>
          </w:tcPr>
          <w:p w14:paraId="41B97F2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Raw string date</w:t>
            </w:r>
          </w:p>
        </w:tc>
        <w:tc>
          <w:tcPr>
            <w:tcW w:w="1802" w:type="dxa"/>
          </w:tcPr>
          <w:p w14:paraId="045000FE">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Stored as text; not directly suitable for analysis</w:t>
            </w:r>
          </w:p>
        </w:tc>
        <w:tc>
          <w:tcPr>
            <w:tcW w:w="1739" w:type="dxa"/>
          </w:tcPr>
          <w:p w14:paraId="0C42D37D">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Converted to datetime, then decomposed into </w:t>
            </w:r>
            <w:r>
              <w:rPr>
                <w:rStyle w:val="7"/>
                <w:rFonts w:hint="default" w:ascii="Times New Roman Regular" w:hAnsi="Times New Roman Regular" w:cs="Times New Roman Regular"/>
                <w:sz w:val="22"/>
                <w:szCs w:val="22"/>
              </w:rPr>
              <w:t>year</w:t>
            </w:r>
            <w:r>
              <w:rPr>
                <w:rFonts w:hint="default" w:ascii="Times New Roman Regular" w:hAnsi="Times New Roman Regular" w:cs="Times New Roman Regular"/>
                <w:sz w:val="22"/>
                <w:szCs w:val="22"/>
              </w:rPr>
              <w:t xml:space="preserve">, </w:t>
            </w:r>
            <w:r>
              <w:rPr>
                <w:rStyle w:val="7"/>
                <w:rFonts w:hint="default" w:ascii="Times New Roman Regular" w:hAnsi="Times New Roman Regular" w:cs="Times New Roman Regular"/>
                <w:sz w:val="22"/>
                <w:szCs w:val="22"/>
              </w:rPr>
              <w:t>quarter</w:t>
            </w:r>
            <w:r>
              <w:rPr>
                <w:rFonts w:hint="default" w:ascii="Times New Roman Regular" w:hAnsi="Times New Roman Regular" w:cs="Times New Roman Regular"/>
                <w:sz w:val="22"/>
                <w:szCs w:val="22"/>
              </w:rPr>
              <w:t xml:space="preserve">, and </w:t>
            </w:r>
            <w:r>
              <w:rPr>
                <w:rStyle w:val="7"/>
                <w:rFonts w:hint="default" w:ascii="Times New Roman Regular" w:hAnsi="Times New Roman Regular" w:cs="Times New Roman Regular"/>
                <w:sz w:val="22"/>
                <w:szCs w:val="22"/>
              </w:rPr>
              <w:t>year_norm</w:t>
            </w:r>
            <w:r>
              <w:rPr>
                <w:rFonts w:hint="default" w:ascii="Times New Roman Regular" w:hAnsi="Times New Roman Regular" w:cs="Times New Roman Regular"/>
                <w:sz w:val="22"/>
                <w:szCs w:val="22"/>
              </w:rPr>
              <w:t>; original raw date field removed</w:t>
            </w:r>
          </w:p>
        </w:tc>
        <w:tc>
          <w:tcPr>
            <w:tcW w:w="1643" w:type="dxa"/>
          </w:tcPr>
          <w:p w14:paraId="7AB81343">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Makes temporal information usable for exploratory analysis and modelling</w:t>
            </w:r>
          </w:p>
        </w:tc>
      </w:tr>
      <w:tr w14:paraId="0010D2E1">
        <w:tc>
          <w:tcPr>
            <w:tcW w:w="1592" w:type="dxa"/>
          </w:tcPr>
          <w:p w14:paraId="4842D901">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County</w:t>
            </w:r>
          </w:p>
        </w:tc>
        <w:tc>
          <w:tcPr>
            <w:tcW w:w="1746" w:type="dxa"/>
          </w:tcPr>
          <w:p w14:paraId="478BE9CF">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Categorical/Text</w:t>
            </w:r>
          </w:p>
        </w:tc>
        <w:tc>
          <w:tcPr>
            <w:tcW w:w="1802" w:type="dxa"/>
          </w:tcPr>
          <w:p w14:paraId="5D959100">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Requires standardisation of formatting</w:t>
            </w:r>
          </w:p>
        </w:tc>
        <w:tc>
          <w:tcPr>
            <w:tcW w:w="1739" w:type="dxa"/>
          </w:tcPr>
          <w:p w14:paraId="4DE88EEE">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Retained and whitespace-standardised</w:t>
            </w:r>
          </w:p>
        </w:tc>
        <w:tc>
          <w:tcPr>
            <w:tcW w:w="1643" w:type="dxa"/>
          </w:tcPr>
          <w:p w14:paraId="6DC029CF">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Important explanatory location feature for both analysis and modelling</w:t>
            </w:r>
          </w:p>
        </w:tc>
      </w:tr>
      <w:tr w14:paraId="70A4339D">
        <w:tc>
          <w:tcPr>
            <w:tcW w:w="1592" w:type="dxa"/>
          </w:tcPr>
          <w:p w14:paraId="2076ABC6">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Address</w:t>
            </w:r>
          </w:p>
        </w:tc>
        <w:tc>
          <w:tcPr>
            <w:tcW w:w="1746" w:type="dxa"/>
          </w:tcPr>
          <w:p w14:paraId="03A8A0F4">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Categorical/Text  </w:t>
            </w:r>
          </w:p>
        </w:tc>
        <w:tc>
          <w:tcPr>
            <w:tcW w:w="1802" w:type="dxa"/>
          </w:tcPr>
          <w:p w14:paraId="77335F7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High-cardinality text field; some missingness</w:t>
            </w:r>
          </w:p>
        </w:tc>
        <w:tc>
          <w:tcPr>
            <w:tcW w:w="1739" w:type="dxa"/>
          </w:tcPr>
          <w:p w14:paraId="08E26C9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Retained, whitespace-standardised, and missing values filled where necessary for retained clean workflow</w:t>
            </w:r>
          </w:p>
        </w:tc>
        <w:tc>
          <w:tcPr>
            <w:tcW w:w="1643" w:type="dxa"/>
          </w:tcPr>
          <w:p w14:paraId="716CA934">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Preserves raw location text for later spatial enrichment and record interpretation</w:t>
            </w:r>
          </w:p>
        </w:tc>
      </w:tr>
      <w:tr w14:paraId="4ED75938">
        <w:tc>
          <w:tcPr>
            <w:tcW w:w="1592" w:type="dxa"/>
          </w:tcPr>
          <w:p w14:paraId="665CF44F">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Eircode</w:t>
            </w:r>
          </w:p>
        </w:tc>
        <w:tc>
          <w:tcPr>
            <w:tcW w:w="1746" w:type="dxa"/>
          </w:tcPr>
          <w:p w14:paraId="171578A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Categorical/Text</w:t>
            </w:r>
          </w:p>
        </w:tc>
        <w:tc>
          <w:tcPr>
            <w:tcW w:w="1802" w:type="dxa"/>
          </w:tcPr>
          <w:p w14:paraId="2DC28579">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Very high missingness</w:t>
            </w:r>
          </w:p>
        </w:tc>
        <w:tc>
          <w:tcPr>
            <w:tcW w:w="1739" w:type="dxa"/>
          </w:tcPr>
          <w:p w14:paraId="1A872E87">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Removed from the clean-final dataset</w:t>
            </w:r>
          </w:p>
        </w:tc>
        <w:tc>
          <w:tcPr>
            <w:tcW w:w="1643" w:type="dxa"/>
          </w:tcPr>
          <w:p w14:paraId="4F10B407">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Insufficient completeness for reliable direct use; spatial information is later recovered through external geocoding</w:t>
            </w:r>
          </w:p>
        </w:tc>
      </w:tr>
      <w:tr w14:paraId="3A3F8A66">
        <w:tc>
          <w:tcPr>
            <w:tcW w:w="1592" w:type="dxa"/>
          </w:tcPr>
          <w:p w14:paraId="368689AB">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Price (€)</w:t>
            </w:r>
          </w:p>
        </w:tc>
        <w:tc>
          <w:tcPr>
            <w:tcW w:w="1746" w:type="dxa"/>
          </w:tcPr>
          <w:p w14:paraId="625C342B">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Raw text currency field</w:t>
            </w:r>
          </w:p>
        </w:tc>
        <w:tc>
          <w:tcPr>
            <w:tcW w:w="1802" w:type="dxa"/>
          </w:tcPr>
          <w:p w14:paraId="064A47AA">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Stored as string due to euro symbol and commas</w:t>
            </w:r>
          </w:p>
        </w:tc>
        <w:tc>
          <w:tcPr>
            <w:tcW w:w="1739" w:type="dxa"/>
          </w:tcPr>
          <w:p w14:paraId="6AAC09C4">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Symbols removed and converted into numeric </w:t>
            </w:r>
            <w:r>
              <w:rPr>
                <w:rStyle w:val="7"/>
                <w:rFonts w:hint="default" w:ascii="Times New Roman Regular" w:hAnsi="Times New Roman Regular" w:cs="Times New Roman Regular"/>
                <w:sz w:val="22"/>
                <w:szCs w:val="22"/>
              </w:rPr>
              <w:t>Price(1,000 €)</w:t>
            </w:r>
            <w:r>
              <w:rPr>
                <w:rFonts w:hint="default" w:ascii="Times New Roman Regular" w:hAnsi="Times New Roman Regular" w:cs="Times New Roman Regular"/>
                <w:sz w:val="22"/>
                <w:szCs w:val="22"/>
              </w:rPr>
              <w:t>; original field removed</w:t>
            </w:r>
          </w:p>
        </w:tc>
        <w:tc>
          <w:tcPr>
            <w:tcW w:w="1643" w:type="dxa"/>
          </w:tcPr>
          <w:p w14:paraId="64FF8934">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Required to enable descriptive statistics, outlier handling, and modelling</w:t>
            </w:r>
          </w:p>
        </w:tc>
      </w:tr>
      <w:tr w14:paraId="736A8ED9">
        <w:tc>
          <w:tcPr>
            <w:tcW w:w="1592" w:type="dxa"/>
          </w:tcPr>
          <w:p w14:paraId="32AD4438">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Property Size Description</w:t>
            </w:r>
          </w:p>
        </w:tc>
        <w:tc>
          <w:tcPr>
            <w:tcW w:w="1746" w:type="dxa"/>
          </w:tcPr>
          <w:p w14:paraId="3C1EF807">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Categorical/Text</w:t>
            </w:r>
          </w:p>
        </w:tc>
        <w:tc>
          <w:tcPr>
            <w:tcW w:w="1802" w:type="dxa"/>
          </w:tcPr>
          <w:p w14:paraId="0B1DFCAA">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Very high missingness</w:t>
            </w:r>
          </w:p>
        </w:tc>
        <w:tc>
          <w:tcPr>
            <w:tcW w:w="1739" w:type="dxa"/>
          </w:tcPr>
          <w:p w14:paraId="1872AA40">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Removed from the clean-final dataset</w:t>
            </w:r>
          </w:p>
        </w:tc>
        <w:tc>
          <w:tcPr>
            <w:tcW w:w="1643" w:type="dxa"/>
          </w:tcPr>
          <w:p w14:paraId="01FA1E57">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High incompleteness and limited direct value in the clean-final modelling workflow</w:t>
            </w:r>
          </w:p>
        </w:tc>
      </w:tr>
      <w:tr w14:paraId="2805CA82">
        <w:tc>
          <w:tcPr>
            <w:tcW w:w="1592" w:type="dxa"/>
          </w:tcPr>
          <w:p w14:paraId="59F71138">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Description of Property</w:t>
            </w:r>
          </w:p>
        </w:tc>
        <w:tc>
          <w:tcPr>
            <w:tcW w:w="1746" w:type="dxa"/>
          </w:tcPr>
          <w:p w14:paraId="765C81CF">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Categorical/Text</w:t>
            </w:r>
          </w:p>
        </w:tc>
        <w:tc>
          <w:tcPr>
            <w:tcW w:w="1802" w:type="dxa"/>
          </w:tcPr>
          <w:p w14:paraId="55ECD4B0">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Mixed text values, including Irish/English label variation and some missingness</w:t>
            </w:r>
          </w:p>
        </w:tc>
        <w:tc>
          <w:tcPr>
            <w:tcW w:w="1739" w:type="dxa"/>
          </w:tcPr>
          <w:p w14:paraId="79A852C1">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Standardised, harmonised, and converted into binary derived feature </w:t>
            </w:r>
            <w:r>
              <w:rPr>
                <w:rStyle w:val="7"/>
                <w:rFonts w:hint="default" w:ascii="Times New Roman Regular" w:hAnsi="Times New Roman Regular" w:cs="Times New Roman Regular"/>
                <w:sz w:val="22"/>
                <w:szCs w:val="22"/>
              </w:rPr>
              <w:t>is_new_property</w:t>
            </w:r>
            <w:r>
              <w:rPr>
                <w:rFonts w:hint="default" w:ascii="Times New Roman Regular" w:hAnsi="Times New Roman Regular" w:cs="Times New Roman Regular"/>
                <w:sz w:val="22"/>
                <w:szCs w:val="22"/>
              </w:rPr>
              <w:t>; original text field removed</w:t>
            </w:r>
          </w:p>
        </w:tc>
        <w:tc>
          <w:tcPr>
            <w:tcW w:w="1643" w:type="dxa"/>
          </w:tcPr>
          <w:p w14:paraId="497BA8C1">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Produces a compact, model-ready property-status feature</w:t>
            </w:r>
          </w:p>
        </w:tc>
      </w:tr>
      <w:tr w14:paraId="3CFDCC1F">
        <w:tc>
          <w:tcPr>
            <w:tcW w:w="1592" w:type="dxa"/>
          </w:tcPr>
          <w:p w14:paraId="0136A144">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Not Full Market Price</w:t>
            </w:r>
          </w:p>
        </w:tc>
        <w:tc>
          <w:tcPr>
            <w:tcW w:w="1746" w:type="dxa"/>
          </w:tcPr>
          <w:p w14:paraId="27D55E7C">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Binary categorical</w:t>
            </w:r>
          </w:p>
        </w:tc>
        <w:tc>
          <w:tcPr>
            <w:tcW w:w="1802" w:type="dxa"/>
          </w:tcPr>
          <w:p w14:paraId="3F96780A">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Text Yes/No values; some missingness</w:t>
            </w:r>
          </w:p>
        </w:tc>
        <w:tc>
          <w:tcPr>
            <w:tcW w:w="1739" w:type="dxa"/>
          </w:tcPr>
          <w:p w14:paraId="0A87F76F">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Standardised and converted to binary numeric format</w:t>
            </w:r>
          </w:p>
        </w:tc>
        <w:tc>
          <w:tcPr>
            <w:tcW w:w="1643" w:type="dxa"/>
          </w:tcPr>
          <w:p w14:paraId="1D2C0663">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Retains transaction information in a form suitable for modelling</w:t>
            </w:r>
          </w:p>
        </w:tc>
      </w:tr>
      <w:tr w14:paraId="434CA701">
        <w:tc>
          <w:tcPr>
            <w:tcW w:w="1592" w:type="dxa"/>
          </w:tcPr>
          <w:p w14:paraId="6F8C9807">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VAT Exclusive</w:t>
            </w:r>
          </w:p>
        </w:tc>
        <w:tc>
          <w:tcPr>
            <w:tcW w:w="1746" w:type="dxa"/>
          </w:tcPr>
          <w:p w14:paraId="7FB12B6A">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Binary categorical</w:t>
            </w:r>
          </w:p>
        </w:tc>
        <w:tc>
          <w:tcPr>
            <w:tcW w:w="1802" w:type="dxa"/>
          </w:tcPr>
          <w:p w14:paraId="4ADB90D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Text Yes/No values; some missingness</w:t>
            </w:r>
          </w:p>
        </w:tc>
        <w:tc>
          <w:tcPr>
            <w:tcW w:w="1739" w:type="dxa"/>
          </w:tcPr>
          <w:p w14:paraId="64509ABD">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Standardised and converted to binary numeric format</w:t>
            </w:r>
          </w:p>
        </w:tc>
        <w:tc>
          <w:tcPr>
            <w:tcW w:w="1643" w:type="dxa"/>
          </w:tcPr>
          <w:p w14:paraId="01A7FA57">
            <w:pPr>
              <w:pStyle w:val="8"/>
              <w:spacing w:line="240" w:lineRule="auto"/>
              <w:rPr>
                <w:rFonts w:hint="default" w:ascii="Times New Roman Regular" w:hAnsi="Times New Roman Regular" w:eastAsia="Times New Roman" w:cs="Times New Roman Regular"/>
                <w:sz w:val="22"/>
                <w:szCs w:val="22"/>
                <w:lang w:val="en-GB"/>
              </w:rPr>
            </w:pPr>
            <w:r>
              <w:rPr>
                <w:rStyle w:val="9"/>
                <w:rFonts w:hint="default" w:ascii="Times New Roman Regular" w:hAnsi="Times New Roman Regular" w:cs="Times New Roman Regular"/>
                <w:sz w:val="22"/>
                <w:szCs w:val="22"/>
              </w:rPr>
              <w:t>Retains transaction information in a form suitable for modelling</w:t>
            </w:r>
          </w:p>
          <w:p w14:paraId="034D3090">
            <w:pPr>
              <w:spacing w:line="240" w:lineRule="auto"/>
              <w:rPr>
                <w:rFonts w:hint="default" w:ascii="Times New Roman Regular" w:hAnsi="Times New Roman Regular" w:cs="Times New Roman Regular"/>
                <w:sz w:val="22"/>
                <w:szCs w:val="22"/>
                <w:lang w:val="en-GB"/>
              </w:rPr>
            </w:pPr>
          </w:p>
        </w:tc>
      </w:tr>
      <w:tr w14:paraId="48513EA8">
        <w:tc>
          <w:tcPr>
            <w:tcW w:w="1592" w:type="dxa"/>
          </w:tcPr>
          <w:p w14:paraId="6EAFAF06">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year</w:t>
            </w:r>
          </w:p>
        </w:tc>
        <w:tc>
          <w:tcPr>
            <w:tcW w:w="1746" w:type="dxa"/>
          </w:tcPr>
          <w:p w14:paraId="64DA6BF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Integer</w:t>
            </w:r>
          </w:p>
        </w:tc>
        <w:tc>
          <w:tcPr>
            <w:tcW w:w="1802" w:type="dxa"/>
          </w:tcPr>
          <w:p w14:paraId="2A6CED6D">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Derived field, not present in raw data</w:t>
            </w:r>
          </w:p>
        </w:tc>
        <w:tc>
          <w:tcPr>
            <w:tcW w:w="1739" w:type="dxa"/>
          </w:tcPr>
          <w:p w14:paraId="2FDD2A64">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Created from sale date</w:t>
            </w:r>
          </w:p>
        </w:tc>
        <w:tc>
          <w:tcPr>
            <w:tcW w:w="1643" w:type="dxa"/>
          </w:tcPr>
          <w:p w14:paraId="5779D100">
            <w:pPr>
              <w:pStyle w:val="8"/>
              <w:spacing w:line="240" w:lineRule="auto"/>
              <w:rPr>
                <w:rFonts w:hint="default" w:ascii="Times New Roman Regular" w:hAnsi="Times New Roman Regular" w:eastAsia="Times New Roman" w:cs="Times New Roman Regular"/>
                <w:sz w:val="22"/>
                <w:szCs w:val="22"/>
                <w:lang w:val="en-GB"/>
              </w:rPr>
            </w:pPr>
            <w:r>
              <w:rPr>
                <w:rStyle w:val="9"/>
                <w:rFonts w:hint="default" w:ascii="Times New Roman Regular" w:hAnsi="Times New Roman Regular" w:cs="Times New Roman Regular"/>
                <w:sz w:val="22"/>
                <w:szCs w:val="22"/>
              </w:rPr>
              <w:t>Captures broad market timing effects</w:t>
            </w:r>
          </w:p>
          <w:p w14:paraId="52B01638">
            <w:pPr>
              <w:spacing w:line="240" w:lineRule="auto"/>
              <w:rPr>
                <w:rFonts w:hint="default" w:ascii="Times New Roman Regular" w:hAnsi="Times New Roman Regular" w:cs="Times New Roman Regular"/>
                <w:sz w:val="22"/>
                <w:szCs w:val="22"/>
              </w:rPr>
            </w:pPr>
          </w:p>
        </w:tc>
      </w:tr>
      <w:tr w14:paraId="52BFDDEF">
        <w:tc>
          <w:tcPr>
            <w:tcW w:w="1592" w:type="dxa"/>
          </w:tcPr>
          <w:p w14:paraId="6FDD847A">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quarter</w:t>
            </w:r>
          </w:p>
        </w:tc>
        <w:tc>
          <w:tcPr>
            <w:tcW w:w="1746" w:type="dxa"/>
          </w:tcPr>
          <w:p w14:paraId="2030272C">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Categorical</w:t>
            </w:r>
          </w:p>
        </w:tc>
        <w:tc>
          <w:tcPr>
            <w:tcW w:w="1802" w:type="dxa"/>
          </w:tcPr>
          <w:p w14:paraId="725B7735">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Derived field, not present in raw data</w:t>
            </w:r>
          </w:p>
        </w:tc>
        <w:tc>
          <w:tcPr>
            <w:tcW w:w="1739" w:type="dxa"/>
          </w:tcPr>
          <w:p w14:paraId="39F91D3F">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Created from sale date</w:t>
            </w:r>
          </w:p>
        </w:tc>
        <w:tc>
          <w:tcPr>
            <w:tcW w:w="1643" w:type="dxa"/>
          </w:tcPr>
          <w:p w14:paraId="24E3D06E">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Captures seasonal variation</w:t>
            </w:r>
          </w:p>
        </w:tc>
      </w:tr>
      <w:tr w14:paraId="6F45390B">
        <w:tc>
          <w:tcPr>
            <w:tcW w:w="1592" w:type="dxa"/>
          </w:tcPr>
          <w:p w14:paraId="25B1E8BA">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year_norm</w:t>
            </w:r>
          </w:p>
        </w:tc>
        <w:tc>
          <w:tcPr>
            <w:tcW w:w="1746" w:type="dxa"/>
          </w:tcPr>
          <w:p w14:paraId="3539E550">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Integer</w:t>
            </w:r>
          </w:p>
        </w:tc>
        <w:tc>
          <w:tcPr>
            <w:tcW w:w="1802" w:type="dxa"/>
          </w:tcPr>
          <w:p w14:paraId="091EFB51">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Derived field, not present in raw data</w:t>
            </w:r>
          </w:p>
        </w:tc>
        <w:tc>
          <w:tcPr>
            <w:tcW w:w="1739" w:type="dxa"/>
          </w:tcPr>
          <w:p w14:paraId="049C1052">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Created as normalised year using training-set minimum year</w:t>
            </w:r>
          </w:p>
        </w:tc>
        <w:tc>
          <w:tcPr>
            <w:tcW w:w="1643" w:type="dxa"/>
          </w:tcPr>
          <w:p w14:paraId="722ACE9C">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Creates a compact time-trend feature for modelling</w:t>
            </w:r>
          </w:p>
        </w:tc>
      </w:tr>
      <w:tr w14:paraId="4085FFF8">
        <w:tc>
          <w:tcPr>
            <w:tcW w:w="1592" w:type="dxa"/>
          </w:tcPr>
          <w:p w14:paraId="4DAA5D4C">
            <w:p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is_new_property</w:t>
            </w:r>
          </w:p>
        </w:tc>
        <w:tc>
          <w:tcPr>
            <w:tcW w:w="1746" w:type="dxa"/>
          </w:tcPr>
          <w:p w14:paraId="1BCA01A8">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Binary numeric</w:t>
            </w:r>
          </w:p>
        </w:tc>
        <w:tc>
          <w:tcPr>
            <w:tcW w:w="1802" w:type="dxa"/>
          </w:tcPr>
          <w:p w14:paraId="2FAE43BA">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Derived field, not present in raw data</w:t>
            </w:r>
          </w:p>
        </w:tc>
        <w:tc>
          <w:tcPr>
            <w:tcW w:w="1739" w:type="dxa"/>
          </w:tcPr>
          <w:p w14:paraId="4B690B2A">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Created from cleaned </w:t>
            </w:r>
            <w:r>
              <w:rPr>
                <w:rStyle w:val="7"/>
                <w:rFonts w:hint="default" w:ascii="Times New Roman Regular" w:hAnsi="Times New Roman Regular" w:cs="Times New Roman Regular"/>
                <w:sz w:val="22"/>
                <w:szCs w:val="22"/>
              </w:rPr>
              <w:t>Description of Property</w:t>
            </w:r>
          </w:p>
        </w:tc>
        <w:tc>
          <w:tcPr>
            <w:tcW w:w="1643" w:type="dxa"/>
          </w:tcPr>
          <w:p w14:paraId="17DE26DF">
            <w:pPr>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Provides a concise indicator of new versus second-hand property</w:t>
            </w:r>
          </w:p>
        </w:tc>
      </w:tr>
    </w:tbl>
    <w:p w14:paraId="161CDE12">
      <w:pPr>
        <w:spacing w:line="240" w:lineRule="auto"/>
        <w:rPr>
          <w:rFonts w:hint="default" w:ascii="Times New Roman Regular" w:hAnsi="Times New Roman Regular" w:cs="Times New Roman Regular"/>
          <w:sz w:val="22"/>
          <w:szCs w:val="22"/>
        </w:rPr>
      </w:pPr>
    </w:p>
    <w:p w14:paraId="2A5AE623">
      <w:pPr>
        <w:spacing w:line="240" w:lineRule="auto"/>
        <w:rPr>
          <w:rFonts w:hint="default" w:ascii="Times New Roman Regular" w:hAnsi="Times New Roman Regular" w:cs="Times New Roman Regular"/>
          <w:b/>
          <w:bCs/>
          <w:sz w:val="22"/>
          <w:szCs w:val="22"/>
        </w:rPr>
      </w:pPr>
    </w:p>
    <w:p w14:paraId="2FC22BB9">
      <w:pPr>
        <w:numPr>
          <w:ilvl w:val="0"/>
          <w:numId w:val="1"/>
        </w:num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Justification of Main Decisions</w:t>
      </w:r>
    </w:p>
    <w:p w14:paraId="144BFA4F">
      <w:pPr>
        <w:pStyle w:val="3"/>
        <w:spacing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cs="Times New Roman Regular"/>
          <w:sz w:val="22"/>
          <w:szCs w:val="22"/>
        </w:rPr>
        <w:t xml:space="preserve">Removal of </w:t>
      </w:r>
      <w:r>
        <w:rPr>
          <w:rStyle w:val="7"/>
          <w:rFonts w:hint="default" w:ascii="Times New Roman Regular" w:hAnsi="Times New Roman Regular" w:cs="Times New Roman Regular"/>
          <w:sz w:val="22"/>
          <w:szCs w:val="22"/>
        </w:rPr>
        <w:t>Eircode</w:t>
      </w:r>
    </w:p>
    <w:p w14:paraId="41CE66E4">
      <w:pPr>
        <w:pStyle w:val="8"/>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The original </w:t>
      </w:r>
      <w:r>
        <w:rPr>
          <w:rStyle w:val="7"/>
          <w:rFonts w:hint="default" w:ascii="Times New Roman Regular" w:hAnsi="Times New Roman Regular" w:cs="Times New Roman Regular"/>
          <w:sz w:val="22"/>
          <w:szCs w:val="22"/>
        </w:rPr>
        <w:t>Eircode</w:t>
      </w:r>
      <w:r>
        <w:rPr>
          <w:rFonts w:hint="default" w:ascii="Times New Roman Regular" w:hAnsi="Times New Roman Regular" w:cs="Times New Roman Regular"/>
          <w:sz w:val="22"/>
          <w:szCs w:val="22"/>
        </w:rPr>
        <w:t xml:space="preserve"> variable was not retained in the clean-final dataset because its missingness was too high for it to function as a robust direct explanatory variable. Retaining it in the cleaned output would have introduced either extensive missingness or an artificial categorical level with weak analytical meaning. Since the project later incorporates externally geocoded latitude and longitude values, removing </w:t>
      </w:r>
      <w:r>
        <w:rPr>
          <w:rStyle w:val="7"/>
          <w:rFonts w:hint="default" w:ascii="Times New Roman Regular" w:hAnsi="Times New Roman Regular" w:cs="Times New Roman Regular"/>
          <w:sz w:val="22"/>
          <w:szCs w:val="22"/>
        </w:rPr>
        <w:t>Eircode</w:t>
      </w:r>
      <w:r>
        <w:rPr>
          <w:rFonts w:hint="default" w:ascii="Times New Roman Regular" w:hAnsi="Times New Roman Regular" w:cs="Times New Roman Regular"/>
          <w:sz w:val="22"/>
          <w:szCs w:val="22"/>
        </w:rPr>
        <w:t xml:space="preserve"> at the clean-final stage was the more defensible choice.</w:t>
      </w:r>
    </w:p>
    <w:p w14:paraId="264E0987">
      <w:pPr>
        <w:pStyle w:val="3"/>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Removal of </w:t>
      </w:r>
      <w:r>
        <w:rPr>
          <w:rStyle w:val="7"/>
          <w:rFonts w:hint="default" w:ascii="Times New Roman Regular" w:hAnsi="Times New Roman Regular" w:cs="Times New Roman Regular"/>
          <w:sz w:val="22"/>
          <w:szCs w:val="22"/>
        </w:rPr>
        <w:t>Property Size Description</w:t>
      </w:r>
    </w:p>
    <w:p w14:paraId="1AD04B93">
      <w:pPr>
        <w:pStyle w:val="8"/>
        <w:spacing w:line="240" w:lineRule="auto"/>
        <w:rPr>
          <w:rFonts w:hint="default" w:ascii="Times New Roman Regular" w:hAnsi="Times New Roman Regular" w:cs="Times New Roman Regular"/>
          <w:sz w:val="22"/>
          <w:szCs w:val="22"/>
        </w:rPr>
      </w:pPr>
      <w:r>
        <w:rPr>
          <w:rStyle w:val="7"/>
          <w:rFonts w:hint="default" w:ascii="Times New Roman Regular" w:hAnsi="Times New Roman Regular" w:cs="Times New Roman Regular"/>
          <w:sz w:val="22"/>
          <w:szCs w:val="22"/>
        </w:rPr>
        <w:t>Property Size Description</w:t>
      </w:r>
      <w:r>
        <w:rPr>
          <w:rFonts w:hint="default" w:ascii="Times New Roman Regular" w:hAnsi="Times New Roman Regular" w:cs="Times New Roman Regular"/>
          <w:sz w:val="22"/>
          <w:szCs w:val="22"/>
        </w:rPr>
        <w:t xml:space="preserve"> was also removed because of its very high proportion of missing values. In the current project workflow, retaining this feature would have added complexity without providing a sufficiently reliable contribution to the clean-final dataset.</w:t>
      </w:r>
    </w:p>
    <w:p w14:paraId="43EFFD7A">
      <w:pPr>
        <w:pStyle w:val="3"/>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Numeric conversion of price</w:t>
      </w:r>
    </w:p>
    <w:p w14:paraId="68DBF833">
      <w:pPr>
        <w:pStyle w:val="8"/>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The target variable must be numeric to support statistical description, outlier treatment, and modelling. Converting </w:t>
      </w:r>
      <w:r>
        <w:rPr>
          <w:rStyle w:val="7"/>
          <w:rFonts w:hint="default" w:ascii="Times New Roman Regular" w:hAnsi="Times New Roman Regular" w:cs="Times New Roman Regular"/>
          <w:b/>
          <w:bCs/>
          <w:sz w:val="22"/>
          <w:szCs w:val="22"/>
        </w:rPr>
        <w:t>Price (€)</w:t>
      </w:r>
      <w:r>
        <w:rPr>
          <w:rFonts w:hint="default" w:ascii="Times New Roman Regular" w:hAnsi="Times New Roman Regular" w:cs="Times New Roman Regular"/>
          <w:sz w:val="22"/>
          <w:szCs w:val="22"/>
        </w:rPr>
        <w:t xml:space="preserve"> into the numeric field </w:t>
      </w:r>
      <w:r>
        <w:rPr>
          <w:rStyle w:val="7"/>
          <w:rFonts w:hint="default" w:ascii="Times New Roman Regular" w:hAnsi="Times New Roman Regular" w:cs="Times New Roman Regular"/>
          <w:b/>
          <w:bCs/>
          <w:sz w:val="22"/>
          <w:szCs w:val="22"/>
        </w:rPr>
        <w:t>Price(1,000 €)</w:t>
      </w:r>
      <w:r>
        <w:rPr>
          <w:rFonts w:hint="default" w:ascii="Times New Roman Regular" w:hAnsi="Times New Roman Regular" w:cs="Times New Roman Regular"/>
          <w:sz w:val="22"/>
          <w:szCs w:val="22"/>
        </w:rPr>
        <w:t xml:space="preserve"> was therefore essential. Expressing it in thousand-euro units also improves readability in summary statistics and plots.</w:t>
      </w:r>
    </w:p>
    <w:p w14:paraId="59CDB649">
      <w:pPr>
        <w:pStyle w:val="3"/>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Duplicate removal</w:t>
      </w:r>
    </w:p>
    <w:p w14:paraId="43D6EEBA">
      <w:pPr>
        <w:pStyle w:val="8"/>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Removing duplicated rows is a basic but critical data quality step. If duplicates are left in place, they bias descriptive summaries and can also distort predictive models by effectively counting the same transaction more than once.</w:t>
      </w:r>
    </w:p>
    <w:p w14:paraId="2791381A">
      <w:pPr>
        <w:pStyle w:val="3"/>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Temporal feature extraction</w:t>
      </w:r>
    </w:p>
    <w:p w14:paraId="092211D1">
      <w:pPr>
        <w:pStyle w:val="8"/>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Rather than retaining the raw date string, the project extracts </w:t>
      </w:r>
      <w:r>
        <w:rPr>
          <w:rStyle w:val="7"/>
          <w:rFonts w:hint="default" w:ascii="Times New Roman Regular" w:hAnsi="Times New Roman Regular" w:cs="Times New Roman Regular"/>
          <w:sz w:val="22"/>
          <w:szCs w:val="22"/>
        </w:rPr>
        <w:t>year</w:t>
      </w:r>
      <w:r>
        <w:rPr>
          <w:rFonts w:hint="default" w:ascii="Times New Roman Regular" w:hAnsi="Times New Roman Regular" w:cs="Times New Roman Regular"/>
          <w:sz w:val="22"/>
          <w:szCs w:val="22"/>
        </w:rPr>
        <w:t xml:space="preserve">, </w:t>
      </w:r>
      <w:r>
        <w:rPr>
          <w:rStyle w:val="7"/>
          <w:rFonts w:hint="default" w:ascii="Times New Roman Regular" w:hAnsi="Times New Roman Regular" w:cs="Times New Roman Regular"/>
          <w:sz w:val="22"/>
          <w:szCs w:val="22"/>
        </w:rPr>
        <w:t>quarter</w:t>
      </w:r>
      <w:r>
        <w:rPr>
          <w:rFonts w:hint="default" w:ascii="Times New Roman Regular" w:hAnsi="Times New Roman Regular" w:cs="Times New Roman Regular"/>
          <w:sz w:val="22"/>
          <w:szCs w:val="22"/>
        </w:rPr>
        <w:t xml:space="preserve">, and </w:t>
      </w:r>
      <w:r>
        <w:rPr>
          <w:rStyle w:val="7"/>
          <w:rFonts w:hint="default" w:ascii="Times New Roman Regular" w:hAnsi="Times New Roman Regular" w:cs="Times New Roman Regular"/>
          <w:sz w:val="22"/>
          <w:szCs w:val="22"/>
        </w:rPr>
        <w:t>year_norm</w:t>
      </w:r>
      <w:r>
        <w:rPr>
          <w:rFonts w:hint="default" w:ascii="Times New Roman Regular" w:hAnsi="Times New Roman Regular" w:cs="Times New Roman Regular"/>
          <w:sz w:val="22"/>
          <w:szCs w:val="22"/>
        </w:rPr>
        <w:t>. This is preferable because it preserves the informative part of the date while reducing noise and making the information directly usable for plots and regression models.</w:t>
      </w:r>
    </w:p>
    <w:p w14:paraId="7B1246A1">
      <w:pPr>
        <w:pStyle w:val="3"/>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Binary encoding of transaction indicators</w:t>
      </w:r>
    </w:p>
    <w:p w14:paraId="072C882D">
      <w:pPr>
        <w:pStyle w:val="8"/>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The categorical </w:t>
      </w:r>
      <w:r>
        <w:rPr>
          <w:rFonts w:hint="default" w:ascii="Times New Roman Regular" w:hAnsi="Times New Roman Regular" w:cs="Times New Roman Regular"/>
          <w:b/>
          <w:bCs/>
          <w:sz w:val="22"/>
          <w:szCs w:val="22"/>
        </w:rPr>
        <w:t>Yes/No</w:t>
      </w:r>
      <w:r>
        <w:rPr>
          <w:rFonts w:hint="default" w:ascii="Times New Roman Regular" w:hAnsi="Times New Roman Regular" w:cs="Times New Roman Regular"/>
          <w:sz w:val="22"/>
          <w:szCs w:val="22"/>
        </w:rPr>
        <w:t xml:space="preserve"> variables were converted into binary numeric form because this improves consistency and simplifies later modelling. It also avoids repeatedly handling text encodings during downstream analysis.</w:t>
      </w:r>
    </w:p>
    <w:p w14:paraId="5270D939">
      <w:pPr>
        <w:pStyle w:val="2"/>
        <w:spacing w:line="240" w:lineRule="auto"/>
        <w:rPr>
          <w:rFonts w:hint="default" w:ascii="Times New Roman Regular" w:hAnsi="Times New Roman Regular" w:cs="Times New Roman Regular"/>
          <w:b/>
          <w:bCs/>
          <w:color w:val="000000" w:themeColor="text1"/>
          <w:sz w:val="22"/>
          <w:szCs w:val="22"/>
          <w14:textFill>
            <w14:solidFill>
              <w14:schemeClr w14:val="tx1"/>
            </w14:solidFill>
          </w14:textFill>
        </w:rPr>
      </w:pPr>
      <w:r>
        <w:rPr>
          <w:rFonts w:hint="default" w:ascii="Times New Roman Regular" w:hAnsi="Times New Roman Regular" w:cs="Times New Roman Regular"/>
          <w:b/>
          <w:bCs/>
          <w:color w:val="000000" w:themeColor="text1"/>
          <w:sz w:val="22"/>
          <w:szCs w:val="22"/>
          <w14:textFill>
            <w14:solidFill>
              <w14:schemeClr w14:val="tx1"/>
            </w14:solidFill>
          </w14:textFill>
        </w:rPr>
        <w:t>Output of the Cleaning Stage</w:t>
      </w:r>
    </w:p>
    <w:p w14:paraId="4E4A465C">
      <w:pPr>
        <w:pStyle w:val="8"/>
        <w:spacing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 xml:space="preserve">After the cleaning plan was executed, the resulting dataset was exported as </w:t>
      </w:r>
      <w:r>
        <w:rPr>
          <w:rStyle w:val="7"/>
          <w:rFonts w:hint="default" w:ascii="Times New Roman Regular" w:hAnsi="Times New Roman Regular" w:cs="Times New Roman Regular"/>
          <w:i/>
          <w:iCs/>
          <w:sz w:val="22"/>
          <w:szCs w:val="22"/>
        </w:rPr>
        <w:t>ppr-group-24209891-train-clean-final.csv</w:t>
      </w:r>
      <w:r>
        <w:rPr>
          <w:rFonts w:hint="default" w:ascii="Times New Roman Regular" w:hAnsi="Times New Roman Regular" w:cs="Times New Roman Regular"/>
          <w:i/>
          <w:iCs/>
          <w:sz w:val="22"/>
          <w:szCs w:val="22"/>
        </w:rPr>
        <w:t xml:space="preserve">. </w:t>
      </w:r>
      <w:r>
        <w:rPr>
          <w:rFonts w:hint="default" w:ascii="Times New Roman Regular" w:hAnsi="Times New Roman Regular" w:cs="Times New Roman Regular"/>
          <w:sz w:val="22"/>
          <w:szCs w:val="22"/>
        </w:rPr>
        <w:t>This dataset contains the retained cleaned features and no missing values in those retained modelling variables. It serves as the formal output of the data quality stage and as the basis for subsequent feature engineering and model development.</w:t>
      </w:r>
    </w:p>
    <w:p w14:paraId="3B2D2035">
      <w:pPr>
        <w:spacing w:line="240" w:lineRule="auto"/>
        <w:rPr>
          <w:rFonts w:hint="default" w:ascii="Times New Roman Regular" w:hAnsi="Times New Roman Regular" w:cs="Times New Roman Regular"/>
          <w:b/>
          <w:bCs/>
          <w:sz w:val="22"/>
          <w:szCs w:val="22"/>
        </w:rPr>
      </w:pPr>
    </w:p>
    <w:p w14:paraId="34984236">
      <w:pPr>
        <w:numPr>
          <w:ilvl w:val="0"/>
          <w:numId w:val="1"/>
        </w:numPr>
        <w:spacing w:line="240" w:lineRule="auto"/>
        <w:rPr>
          <w:rFonts w:hint="default" w:ascii="Times New Roman Regular" w:hAnsi="Times New Roman Regular" w:cs="Times New Roman Regular"/>
          <w:b/>
          <w:bCs/>
          <w:sz w:val="22"/>
          <w:szCs w:val="22"/>
        </w:rPr>
      </w:pPr>
      <w:r>
        <w:rPr>
          <w:rFonts w:hint="default" w:ascii="Times New Roman Regular" w:hAnsi="Times New Roman Regular" w:cs="Times New Roman Regular"/>
          <w:b/>
          <w:bCs/>
          <w:sz w:val="22"/>
          <w:szCs w:val="22"/>
        </w:rPr>
        <w:t>Conclusion</w:t>
      </w:r>
    </w:p>
    <w:p w14:paraId="0BD4C248">
      <w:pPr>
        <w:spacing w:line="240" w:lineRule="auto"/>
        <w:rPr>
          <w:rFonts w:hint="default" w:ascii="Times New Roman Regular" w:hAnsi="Times New Roman Regular" w:cs="Times New Roman Regular"/>
          <w:b/>
          <w:bCs/>
          <w:sz w:val="22"/>
          <w:szCs w:val="22"/>
        </w:rPr>
      </w:pPr>
    </w:p>
    <w:p w14:paraId="348F0A44">
      <w:pPr>
        <w:spacing w:before="100" w:beforeAutospacing="1" w:after="100" w:afterAutospacing="1" w:line="240" w:lineRule="auto"/>
        <w:rPr>
          <w:rFonts w:hint="default" w:ascii="Times New Roman Regular" w:hAnsi="Times New Roman Regular" w:eastAsia="Times New Roman" w:cs="Times New Roman Regular"/>
          <w:sz w:val="22"/>
          <w:szCs w:val="22"/>
          <w:lang w:val="en-GB"/>
        </w:rPr>
      </w:pPr>
      <w:r>
        <w:rPr>
          <w:rFonts w:hint="default" w:ascii="Times New Roman Regular" w:hAnsi="Times New Roman Regular" w:eastAsia="Times New Roman" w:cs="Times New Roman Regular"/>
          <w:sz w:val="22"/>
          <w:szCs w:val="22"/>
          <w:lang w:val="en-GB"/>
        </w:rPr>
        <w:t>This Data Quality Plan documents a cleaning strategy that is both practical and analytically justified. Rather than mechanically filling every incomplete field, the workflow distinguishes between variables that are worth retaining and variables that are too incomplete to be reliable in the clean-final dataset. This makes the cleaned data easier to defend academically and more suitable for later modelling.</w:t>
      </w:r>
    </w:p>
    <w:p w14:paraId="6E89AFC3">
      <w:pPr>
        <w:spacing w:before="100" w:beforeAutospacing="1" w:after="100" w:afterAutospacing="1" w:line="240" w:lineRule="auto"/>
        <w:rPr>
          <w:rFonts w:hint="default" w:ascii="Times New Roman Regular" w:hAnsi="Times New Roman Regular" w:cs="Times New Roman Regular"/>
          <w:sz w:val="22"/>
          <w:szCs w:val="22"/>
        </w:rPr>
      </w:pPr>
      <w:r>
        <w:rPr>
          <w:rFonts w:hint="default" w:ascii="Times New Roman Regular" w:hAnsi="Times New Roman Regular" w:eastAsia="Times New Roman" w:cs="Times New Roman Regular"/>
          <w:sz w:val="22"/>
          <w:szCs w:val="22"/>
          <w:lang w:val="en-GB"/>
        </w:rPr>
        <w:t>The final clean dataset is therefore not simply a version with missing values suppressed, but a deliberately structured and justified representation of the raw training data, prepared for the next stages of the project.</w:t>
      </w:r>
    </w:p>
    <w:p w14:paraId="05110FA0">
      <w:pPr>
        <w:spacing w:line="240" w:lineRule="auto"/>
        <w:rPr>
          <w:rFonts w:hint="default" w:ascii="Times New Roman Regular" w:hAnsi="Times New Roman Regular" w:cs="Times New Roman Regular"/>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Times New Roman Italic">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6E7EA"/>
    <w:multiLevelType w:val="multilevel"/>
    <w:tmpl w:val="9F76E7EA"/>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343D4C0E"/>
    <w:multiLevelType w:val="multilevel"/>
    <w:tmpl w:val="343D4C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B9004"/>
    <w:rsid w:val="00096789"/>
    <w:rsid w:val="00217746"/>
    <w:rsid w:val="00556BB8"/>
    <w:rsid w:val="00596672"/>
    <w:rsid w:val="006539F5"/>
    <w:rsid w:val="006F6AA2"/>
    <w:rsid w:val="00867891"/>
    <w:rsid w:val="5E9B9004"/>
    <w:rsid w:val="6E993F4D"/>
    <w:rsid w:val="7DDEA494"/>
    <w:rsid w:val="CF3772DC"/>
    <w:rsid w:val="D7FE64E3"/>
    <w:rsid w:val="FD9C5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link w:val="11"/>
    <w:semiHidden/>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4">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uiPriority w:val="99"/>
    <w:rPr>
      <w:rFonts w:ascii="Courier New" w:hAnsi="Courier New" w:cs="Courier New"/>
      <w:sz w:val="20"/>
      <w:szCs w:val="20"/>
    </w:rPr>
  </w:style>
  <w:style w:type="paragraph" w:styleId="8">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5"/>
    <w:qFormat/>
    <w:uiPriority w:val="22"/>
    <w:rPr>
      <w:b/>
      <w:bCs/>
    </w:rPr>
  </w:style>
  <w:style w:type="table" w:styleId="10">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2 Char"/>
    <w:basedOn w:val="5"/>
    <w:link w:val="2"/>
    <w:semiHidden/>
    <w:uiPriority w:val="0"/>
    <w:rPr>
      <w:rFonts w:asciiTheme="majorHAnsi" w:hAnsiTheme="majorHAnsi" w:eastAsiaTheme="majorEastAsia" w:cstheme="majorBidi"/>
      <w:color w:val="2E54A1" w:themeColor="accent1" w:themeShade="BF"/>
      <w:sz w:val="26"/>
      <w:szCs w:val="26"/>
      <w:lang w:val="en-US"/>
    </w:rPr>
  </w:style>
  <w:style w:type="table" w:customStyle="1" w:styleId="12">
    <w:name w:val="Grid Table Light"/>
    <w:basedOn w:val="6"/>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3">
    <w:name w:val="Plain Table 1"/>
    <w:basedOn w:val="6"/>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4">
    <w:name w:val="Plain Table 2"/>
    <w:basedOn w:val="6"/>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5">
    <w:name w:val="Plain Table 3"/>
    <w:basedOn w:val="6"/>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6">
    <w:name w:val="Plain Table 4"/>
    <w:basedOn w:val="6"/>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7">
    <w:name w:val="Plain Table 5"/>
    <w:basedOn w:val="6"/>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8">
    <w:name w:val="Grid Table 1 Light"/>
    <w:basedOn w:val="6"/>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9">
    <w:name w:val="Grid Table 1 Light Accent 1"/>
    <w:basedOn w:val="6"/>
    <w:uiPriority w:val="46"/>
    <w:tblPr>
      <w:tblBorders>
        <w:top w:val="single" w:color="B5C7EA" w:themeColor="accent1" w:themeTint="66" w:sz="4" w:space="0"/>
        <w:left w:val="single" w:color="B5C7EA" w:themeColor="accent1" w:themeTint="66" w:sz="4" w:space="0"/>
        <w:bottom w:val="single" w:color="B5C7EA" w:themeColor="accent1" w:themeTint="66" w:sz="4" w:space="0"/>
        <w:right w:val="single" w:color="B5C7EA" w:themeColor="accent1" w:themeTint="66" w:sz="4" w:space="0"/>
        <w:insideH w:val="single" w:color="B5C7EA" w:themeColor="accent1" w:themeTint="66" w:sz="4" w:space="0"/>
        <w:insideV w:val="single" w:color="B5C7EA" w:themeColor="accent1" w:themeTint="66" w:sz="4" w:space="0"/>
      </w:tblBorders>
    </w:tblPr>
    <w:tblStylePr w:type="firstRow">
      <w:rPr>
        <w:b/>
        <w:bCs/>
      </w:rPr>
      <w:tcPr>
        <w:tcBorders>
          <w:bottom w:val="single" w:color="91ABDF" w:themeColor="accent1" w:themeTint="99" w:sz="12" w:space="0"/>
        </w:tcBorders>
      </w:tcPr>
    </w:tblStylePr>
    <w:tblStylePr w:type="lastRow">
      <w:rPr>
        <w:b/>
        <w:bCs/>
      </w:rPr>
      <w:tcPr>
        <w:tcBorders>
          <w:top w:val="double" w:color="91ABDF" w:themeColor="accent1" w:themeTint="99" w:sz="2" w:space="0"/>
        </w:tcBorders>
      </w:tcPr>
    </w:tblStylePr>
    <w:tblStylePr w:type="firstCol">
      <w:rPr>
        <w:b/>
        <w:bCs/>
      </w:rPr>
    </w:tblStylePr>
    <w:tblStylePr w:type="lastCol">
      <w:rPr>
        <w:b/>
        <w:bCs/>
      </w:rPr>
    </w:tblStylePr>
  </w:style>
  <w:style w:type="table" w:customStyle="1" w:styleId="20">
    <w:name w:val="Grid Table 1 Light Accent 3"/>
    <w:basedOn w:val="6"/>
    <w:uiPriority w:val="46"/>
    <w:tblPr>
      <w:tblBorders>
        <w:top w:val="single" w:color="FEE595" w:themeColor="accent3" w:themeTint="66" w:sz="4" w:space="0"/>
        <w:left w:val="single" w:color="FEE595" w:themeColor="accent3" w:themeTint="66" w:sz="4" w:space="0"/>
        <w:bottom w:val="single" w:color="FEE595" w:themeColor="accent3" w:themeTint="66" w:sz="4" w:space="0"/>
        <w:right w:val="single" w:color="FEE595" w:themeColor="accent3" w:themeTint="66" w:sz="4" w:space="0"/>
        <w:insideH w:val="single" w:color="FEE595" w:themeColor="accent3" w:themeTint="66" w:sz="4" w:space="0"/>
        <w:insideV w:val="single" w:color="FEE595" w:themeColor="accent3" w:themeTint="66" w:sz="4" w:space="0"/>
      </w:tblBorders>
    </w:tblPr>
    <w:tblStylePr w:type="firstRow">
      <w:rPr>
        <w:b/>
        <w:bCs/>
      </w:rPr>
      <w:tcPr>
        <w:tcBorders>
          <w:bottom w:val="single" w:color="FDD960" w:themeColor="accent3" w:themeTint="99" w:sz="12" w:space="0"/>
        </w:tcBorders>
      </w:tcPr>
    </w:tblStylePr>
    <w:tblStylePr w:type="lastRow">
      <w:rPr>
        <w:b/>
        <w:bCs/>
      </w:rPr>
      <w:tcPr>
        <w:tcBorders>
          <w:top w:val="double" w:color="FDD960" w:themeColor="accent3" w:themeTint="99" w:sz="2" w:space="0"/>
        </w:tcBorders>
      </w:tcPr>
    </w:tblStylePr>
    <w:tblStylePr w:type="firstCol">
      <w:rPr>
        <w:b/>
        <w:bCs/>
      </w:rPr>
    </w:tblStylePr>
    <w:tblStylePr w:type="lastCol">
      <w:rPr>
        <w:b/>
        <w:bCs/>
      </w:rPr>
    </w:tblStylePr>
  </w:style>
  <w:style w:type="table" w:customStyle="1" w:styleId="21">
    <w:name w:val="Grid Table 1 Light Accent 4"/>
    <w:basedOn w:val="6"/>
    <w:uiPriority w:val="46"/>
    <w:tblPr>
      <w:tblBorders>
        <w:top w:val="single" w:color="C7E4B3" w:themeColor="accent4" w:themeTint="66" w:sz="4" w:space="0"/>
        <w:left w:val="single" w:color="C7E4B3" w:themeColor="accent4" w:themeTint="66" w:sz="4" w:space="0"/>
        <w:bottom w:val="single" w:color="C7E4B3" w:themeColor="accent4" w:themeTint="66" w:sz="4" w:space="0"/>
        <w:right w:val="single" w:color="C7E4B3" w:themeColor="accent4" w:themeTint="66" w:sz="4" w:space="0"/>
        <w:insideH w:val="single" w:color="C7E4B3" w:themeColor="accent4" w:themeTint="66" w:sz="4" w:space="0"/>
        <w:insideV w:val="single" w:color="C7E4B3" w:themeColor="accent4" w:themeTint="66" w:sz="4" w:space="0"/>
      </w:tblBorders>
    </w:tblPr>
    <w:tblStylePr w:type="firstRow">
      <w:rPr>
        <w:b/>
        <w:bCs/>
      </w:rPr>
      <w:tcPr>
        <w:tcBorders>
          <w:bottom w:val="single" w:color="ACD78D" w:themeColor="accent4" w:themeTint="99" w:sz="12" w:space="0"/>
        </w:tcBorders>
      </w:tcPr>
    </w:tblStylePr>
    <w:tblStylePr w:type="lastRow">
      <w:rPr>
        <w:b/>
        <w:bCs/>
      </w:rPr>
      <w:tcPr>
        <w:tcBorders>
          <w:top w:val="double" w:color="ACD78D" w:themeColor="accent4" w:themeTint="99" w:sz="2" w:space="0"/>
        </w:tcBorders>
      </w:tcPr>
    </w:tblStylePr>
    <w:tblStylePr w:type="firstCol">
      <w:rPr>
        <w:b/>
        <w:bCs/>
      </w:rPr>
    </w:tblStylePr>
    <w:tblStylePr w:type="lastCol">
      <w:rPr>
        <w:b/>
        <w:bCs/>
      </w:rPr>
    </w:tblStylePr>
  </w:style>
  <w:style w:type="table" w:customStyle="1" w:styleId="22">
    <w:name w:val="Grid Table 1 Light Accent 5"/>
    <w:basedOn w:val="6"/>
    <w:uiPriority w:val="46"/>
    <w:tblPr>
      <w:tblBorders>
        <w:top w:val="single" w:color="A8E9E3" w:themeColor="accent5" w:themeTint="66" w:sz="4" w:space="0"/>
        <w:left w:val="single" w:color="A8E9E3" w:themeColor="accent5" w:themeTint="66" w:sz="4" w:space="0"/>
        <w:bottom w:val="single" w:color="A8E9E3" w:themeColor="accent5" w:themeTint="66" w:sz="4" w:space="0"/>
        <w:right w:val="single" w:color="A8E9E3" w:themeColor="accent5" w:themeTint="66" w:sz="4" w:space="0"/>
        <w:insideH w:val="single" w:color="A8E9E3" w:themeColor="accent5" w:themeTint="66" w:sz="4" w:space="0"/>
        <w:insideV w:val="single" w:color="A8E9E3" w:themeColor="accent5" w:themeTint="66" w:sz="4" w:space="0"/>
      </w:tblBorders>
    </w:tblPr>
    <w:tblStylePr w:type="firstRow">
      <w:rPr>
        <w:b/>
        <w:bCs/>
      </w:rPr>
      <w:tcPr>
        <w:tcBorders>
          <w:bottom w:val="single" w:color="7DDED6" w:themeColor="accent5" w:themeTint="99" w:sz="12" w:space="0"/>
        </w:tcBorders>
      </w:tcPr>
    </w:tblStylePr>
    <w:tblStylePr w:type="lastRow">
      <w:rPr>
        <w:b/>
        <w:bCs/>
      </w:rPr>
      <w:tcPr>
        <w:tcBorders>
          <w:top w:val="double" w:color="7DDED6" w:themeColor="accent5" w:themeTint="99" w:sz="2" w:space="0"/>
        </w:tcBorders>
      </w:tcPr>
    </w:tblStylePr>
    <w:tblStylePr w:type="firstCol">
      <w:rPr>
        <w:b/>
        <w:bCs/>
      </w:rPr>
    </w:tblStylePr>
    <w:tblStylePr w:type="lastCol">
      <w:rPr>
        <w:b/>
        <w:bCs/>
      </w:rPr>
    </w:tblStylePr>
  </w:style>
  <w:style w:type="table" w:customStyle="1" w:styleId="23">
    <w:name w:val="Grid Table 1 Light Accent 6"/>
    <w:basedOn w:val="6"/>
    <w:uiPriority w:val="46"/>
    <w:tblPr>
      <w:tblBorders>
        <w:top w:val="single" w:color="F4B7BE" w:themeColor="accent6" w:themeTint="66" w:sz="4" w:space="0"/>
        <w:left w:val="single" w:color="F4B7BE" w:themeColor="accent6" w:themeTint="66" w:sz="4" w:space="0"/>
        <w:bottom w:val="single" w:color="F4B7BE" w:themeColor="accent6" w:themeTint="66" w:sz="4" w:space="0"/>
        <w:right w:val="single" w:color="F4B7BE" w:themeColor="accent6" w:themeTint="66" w:sz="4" w:space="0"/>
        <w:insideH w:val="single" w:color="F4B7BE" w:themeColor="accent6" w:themeTint="66" w:sz="4" w:space="0"/>
        <w:insideV w:val="single" w:color="F4B7BE" w:themeColor="accent6" w:themeTint="66" w:sz="4" w:space="0"/>
      </w:tblBorders>
    </w:tblPr>
    <w:tblStylePr w:type="firstRow">
      <w:rPr>
        <w:b/>
        <w:bCs/>
      </w:rPr>
      <w:tcPr>
        <w:tcBorders>
          <w:bottom w:val="single" w:color="EF939E" w:themeColor="accent6" w:themeTint="99" w:sz="12" w:space="0"/>
        </w:tcBorders>
      </w:tcPr>
    </w:tblStylePr>
    <w:tblStylePr w:type="lastRow">
      <w:rPr>
        <w:b/>
        <w:bCs/>
      </w:rPr>
      <w:tcPr>
        <w:tcBorders>
          <w:top w:val="double" w:color="EF939E" w:themeColor="accent6" w:themeTint="99" w:sz="2" w:space="0"/>
        </w:tcBorders>
      </w:tcPr>
    </w:tblStylePr>
    <w:tblStylePr w:type="firstCol">
      <w:rPr>
        <w:b/>
        <w:bCs/>
      </w:rPr>
    </w:tblStylePr>
    <w:tblStylePr w:type="lastCol">
      <w:rPr>
        <w:b/>
        <w:bCs/>
      </w:rPr>
    </w:tblStylePr>
  </w:style>
  <w:style w:type="table" w:customStyle="1" w:styleId="24">
    <w:name w:val="Grid Table 1 Light Accent 2"/>
    <w:basedOn w:val="6"/>
    <w:uiPriority w:val="46"/>
    <w:tblPr>
      <w:tblBorders>
        <w:top w:val="single" w:color="F8CCAB" w:themeColor="accent2" w:themeTint="66" w:sz="4" w:space="0"/>
        <w:left w:val="single" w:color="F8CCAB" w:themeColor="accent2" w:themeTint="66" w:sz="4" w:space="0"/>
        <w:bottom w:val="single" w:color="F8CCAB" w:themeColor="accent2" w:themeTint="66" w:sz="4" w:space="0"/>
        <w:right w:val="single" w:color="F8CCAB" w:themeColor="accent2" w:themeTint="66" w:sz="4" w:space="0"/>
        <w:insideH w:val="single" w:color="F8CCAB" w:themeColor="accent2" w:themeTint="66" w:sz="4" w:space="0"/>
        <w:insideV w:val="single" w:color="F8CCAB" w:themeColor="accent2" w:themeTint="66" w:sz="4" w:space="0"/>
      </w:tblBorders>
    </w:tblPr>
    <w:tblStylePr w:type="firstRow">
      <w:rPr>
        <w:b/>
        <w:bCs/>
      </w:rPr>
      <w:tcPr>
        <w:tcBorders>
          <w:bottom w:val="single" w:color="F4B382" w:themeColor="accent2" w:themeTint="99" w:sz="12" w:space="0"/>
        </w:tcBorders>
      </w:tcPr>
    </w:tblStylePr>
    <w:tblStylePr w:type="lastRow">
      <w:rPr>
        <w:b/>
        <w:bCs/>
      </w:rPr>
      <w:tcPr>
        <w:tcBorders>
          <w:top w:val="double" w:color="F4B382" w:themeColor="accent2" w:themeTint="99" w:sz="2" w:space="0"/>
        </w:tcBorders>
      </w:tcPr>
    </w:tblStylePr>
    <w:tblStylePr w:type="firstCol">
      <w:rPr>
        <w:b/>
        <w:bCs/>
      </w:rPr>
    </w:tblStylePr>
    <w:tblStylePr w:type="lastCol">
      <w:rPr>
        <w:b/>
        <w:bCs/>
      </w:rPr>
    </w:tblStylePr>
  </w:style>
  <w:style w:type="table" w:customStyle="1" w:styleId="25">
    <w:name w:val="Grid Table 2"/>
    <w:basedOn w:val="6"/>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6">
    <w:name w:val="Grid Table 2 Accent 1"/>
    <w:basedOn w:val="6"/>
    <w:uiPriority w:val="47"/>
    <w:tblPr>
      <w:tblBorders>
        <w:top w:val="single" w:color="91ABDF" w:themeColor="accent1" w:themeTint="99" w:sz="2" w:space="0"/>
        <w:bottom w:val="single" w:color="91ABDF" w:themeColor="accent1" w:themeTint="99" w:sz="2" w:space="0"/>
        <w:insideH w:val="single" w:color="91ABDF" w:themeColor="accent1" w:themeTint="99" w:sz="2" w:space="0"/>
        <w:insideV w:val="single" w:color="91ABDF" w:themeColor="accent1" w:themeTint="99" w:sz="2" w:space="0"/>
      </w:tblBorders>
    </w:tblPr>
    <w:tblStylePr w:type="firstRow">
      <w:rPr>
        <w:b/>
        <w:bCs/>
      </w:rPr>
      <w:tcPr>
        <w:tcBorders>
          <w:top w:val="nil"/>
          <w:bottom w:val="single" w:color="91ABDF" w:themeColor="accent1" w:themeTint="99" w:sz="12" w:space="0"/>
          <w:insideH w:val="nil"/>
          <w:insideV w:val="nil"/>
        </w:tcBorders>
        <w:shd w:val="clear" w:color="auto" w:fill="FFFFFF" w:themeFill="background1"/>
      </w:tcPr>
    </w:tblStylePr>
    <w:tblStylePr w:type="lastRow">
      <w:rPr>
        <w:b/>
        <w:bCs/>
      </w:rPr>
      <w:tcPr>
        <w:tcBorders>
          <w:top w:val="double" w:color="91ABD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1057</Words>
  <Characters>6550</Characters>
  <Lines>116</Lines>
  <Paragraphs>31</Paragraphs>
  <TotalTime>33</TotalTime>
  <ScaleCrop>false</ScaleCrop>
  <LinksUpToDate>false</LinksUpToDate>
  <CharactersWithSpaces>7576</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2026-02-19T17:27:00Z</dcterms:created>
  <dc:creator>Mr. right</dc:creator>
  <cp:lastModifiedBy>Mr. right</cp:lastModifiedBy>
  <dcterms:modified xsi:type="dcterms:W3CDTF">2026-03-30T09:50:33Z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0A15D24B0FEFA7DFD10F9769052490DB_41</vt:lpwstr>
  </property>
</Properties>
</file>