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D5514">
      <w:pPr>
        <w:jc w:val="center"/>
        <w:rPr>
          <w:rFonts w:ascii="Times New Roman Regular" w:hAnsi="Times New Roman Regular" w:cs="Times New Roman Regular"/>
          <w:b/>
          <w:bCs/>
          <w:sz w:val="36"/>
          <w:szCs w:val="36"/>
        </w:rPr>
      </w:pPr>
      <w:r>
        <w:rPr>
          <w:rFonts w:ascii="Times New Roman Regular" w:hAnsi="Times New Roman Regular" w:cs="Times New Roman Regular"/>
          <w:b/>
          <w:bCs/>
          <w:sz w:val="40"/>
          <w:szCs w:val="40"/>
        </w:rPr>
        <w:t>Data Quality Plan (DQP)</w:t>
      </w:r>
    </w:p>
    <w:p w14:paraId="3D629058">
      <w:pPr>
        <w:rPr>
          <w:rFonts w:ascii="Times New Roman Regular" w:hAnsi="Times New Roman Regular" w:cs="Times New Roman Regular"/>
        </w:rPr>
      </w:pPr>
    </w:p>
    <w:p w14:paraId="716F35C4">
      <w:pPr>
        <w:numPr>
          <w:ilvl w:val="0"/>
          <w:numId w:val="1"/>
        </w:numPr>
        <w:rPr>
          <w:rFonts w:ascii="Times New Roman Bold" w:hAnsi="Times New Roman Bold" w:cs="Times New Roman Bold"/>
          <w:b/>
          <w:bCs/>
          <w:sz w:val="28"/>
          <w:szCs w:val="28"/>
        </w:rPr>
      </w:pPr>
      <w:r>
        <w:rPr>
          <w:rFonts w:ascii="Times New Roman Bold" w:hAnsi="Times New Roman Bold" w:cs="Times New Roman Bold"/>
          <w:b/>
          <w:bCs/>
          <w:sz w:val="28"/>
          <w:szCs w:val="28"/>
        </w:rPr>
        <w:t>Introduction</w:t>
      </w:r>
    </w:p>
    <w:p w14:paraId="334AE4CC">
      <w:pPr>
        <w:spacing w:before="100" w:beforeAutospacing="1" w:after="100" w:afterAutospacing="1"/>
        <w:rPr>
          <w:rFonts w:ascii="Times New Roman" w:hAnsi="Times New Roman" w:eastAsia="Times New Roman" w:cs="Times New Roman"/>
          <w:lang w:val="en-GB"/>
        </w:rPr>
      </w:pPr>
      <w:r>
        <w:rPr>
          <w:rFonts w:ascii="Times New Roman" w:hAnsi="Times New Roman" w:eastAsia="Times New Roman" w:cs="Times New Roman"/>
          <w:lang w:val="en-GB"/>
        </w:rPr>
        <w:t xml:space="preserve">The purpose of this Data Quality Plan is to document the cleaning strategy applied to the raw training dataset, </w:t>
      </w:r>
      <w:r>
        <w:rPr>
          <w:rFonts w:ascii="SimSun" w:hAnsi="SimSun" w:eastAsia="SimSun" w:cs="Courier New"/>
          <w:i/>
          <w:iCs/>
          <w:lang w:val="en-GB"/>
        </w:rPr>
        <w:t>ppr-group-24209891-train.csv</w:t>
      </w:r>
      <w:r>
        <w:rPr>
          <w:rFonts w:ascii="Times New Roman" w:hAnsi="Times New Roman" w:eastAsia="Times New Roman" w:cs="Times New Roman"/>
          <w:lang w:val="en-GB"/>
        </w:rPr>
        <w:t>, and to justify the decisions taken for each important feature. The aim is not only to correct technical issues in the data, but also to ensure that the retained variables are appropriate for later exploratory analysis, feature engineering, and predictive modelling.</w:t>
      </w:r>
    </w:p>
    <w:p w14:paraId="5B38371B">
      <w:pPr>
        <w:spacing w:before="100" w:beforeAutospacing="1" w:after="100" w:afterAutospacing="1"/>
        <w:rPr>
          <w:rFonts w:ascii="Times New Roman" w:hAnsi="Times New Roman" w:eastAsia="Times New Roman" w:cs="Times New Roman"/>
          <w:lang w:val="en-GB"/>
        </w:rPr>
      </w:pPr>
      <w:r>
        <w:rPr>
          <w:rFonts w:ascii="Times New Roman" w:hAnsi="Times New Roman" w:eastAsia="Times New Roman" w:cs="Times New Roman"/>
          <w:lang w:val="en-GB"/>
        </w:rPr>
        <w:t>The cleaning strategy was designed to preserve as much useful information as possible while avoiding low-quality or weakly informative variables in the clean-final dataset. Where a feature was too incomplete or unsuitable for direct use, it was removed from the clean-final output and, where relevant, replaced later by a more robust engineered alternative.</w:t>
      </w:r>
    </w:p>
    <w:p w14:paraId="75EEC1D9">
      <w:pPr>
        <w:numPr>
          <w:ilvl w:val="253"/>
          <w:numId w:val="0"/>
        </w:numPr>
        <w:rPr>
          <w:rFonts w:ascii="Times New Roman" w:hAnsi="Times New Roman" w:cs="Times New Roman"/>
          <w:lang w:val="en-GB"/>
        </w:rPr>
      </w:pPr>
    </w:p>
    <w:p w14:paraId="3F073DD0">
      <w:pPr>
        <w:numPr>
          <w:ilvl w:val="0"/>
          <w:numId w:val="1"/>
        </w:numPr>
        <w:rPr>
          <w:rFonts w:ascii="Times New Roman Bold" w:hAnsi="Times New Roman Bold" w:cs="Times New Roman Bold"/>
          <w:b/>
          <w:bCs/>
          <w:sz w:val="28"/>
          <w:szCs w:val="28"/>
        </w:rPr>
      </w:pPr>
      <w:r>
        <w:rPr>
          <w:rFonts w:ascii="Times New Roman Bold" w:hAnsi="Times New Roman Bold" w:cs="Times New Roman Bold"/>
          <w:b/>
          <w:bCs/>
          <w:sz w:val="28"/>
          <w:szCs w:val="28"/>
        </w:rPr>
        <w:t>Initial Data Audit</w:t>
      </w:r>
    </w:p>
    <w:p w14:paraId="5A3C9F9A">
      <w:pPr>
        <w:rPr>
          <w:rFonts w:ascii="Times New Roman" w:hAnsi="Times New Roman" w:cs="Times New Roman"/>
        </w:rPr>
      </w:pPr>
    </w:p>
    <w:p w14:paraId="7CFE7672">
      <w:pPr>
        <w:spacing w:before="100" w:beforeAutospacing="1" w:after="100" w:afterAutospacing="1"/>
        <w:rPr>
          <w:rFonts w:ascii="Times New Roman" w:hAnsi="Times New Roman" w:eastAsia="Times New Roman" w:cs="Times New Roman"/>
          <w:lang w:val="en-GB"/>
        </w:rPr>
      </w:pPr>
      <w:r>
        <w:rPr>
          <w:rFonts w:ascii="Times New Roman" w:hAnsi="Times New Roman" w:eastAsia="Times New Roman" w:cs="Times New Roman"/>
          <w:lang w:val="en-GB"/>
        </w:rPr>
        <w:t>The initial audit of the raw training dataset identified several recurring data quality problems.</w:t>
      </w:r>
    </w:p>
    <w:p w14:paraId="4912DD5D">
      <w:pPr>
        <w:spacing w:before="100" w:beforeAutospacing="1" w:after="100" w:afterAutospacing="1"/>
        <w:rPr>
          <w:rFonts w:ascii="Times New Roman" w:hAnsi="Times New Roman" w:eastAsia="Times New Roman" w:cs="Times New Roman"/>
          <w:lang w:val="en-GB"/>
        </w:rPr>
      </w:pPr>
      <w:r>
        <w:rPr>
          <w:rFonts w:ascii="Times New Roman" w:hAnsi="Times New Roman" w:eastAsia="Times New Roman" w:cs="Times New Roman"/>
          <w:lang w:val="en-GB"/>
        </w:rPr>
        <w:t xml:space="preserve">First, structural issues were present in the form of leading and trailing whitespace in column headers. Second, the target variable </w:t>
      </w:r>
      <w:r>
        <w:rPr>
          <w:rFonts w:ascii="Times New Roman" w:hAnsi="Times New Roman" w:eastAsia="SimSun" w:cs="Times New Roman"/>
          <w:b/>
          <w:bCs/>
          <w:lang w:val="en-GB"/>
        </w:rPr>
        <w:t>Price (€)</w:t>
      </w:r>
      <w:r>
        <w:rPr>
          <w:rFonts w:ascii="Times New Roman" w:hAnsi="Times New Roman" w:eastAsia="Times New Roman" w:cs="Times New Roman"/>
          <w:lang w:val="en-GB"/>
        </w:rPr>
        <w:t xml:space="preserve"> was stored as a text field rather than as a numeric variable. Third, duplicated rows were present in the raw data and required removal. Fourth, the dataset contained substantial missingness in several features, most notably </w:t>
      </w:r>
      <w:r>
        <w:rPr>
          <w:rFonts w:ascii="SimSun" w:hAnsi="SimSun" w:eastAsia="SimSun" w:cs="Courier New"/>
          <w:lang w:val="en-GB"/>
        </w:rPr>
        <w:t>Eircode</w:t>
      </w:r>
      <w:r>
        <w:rPr>
          <w:rFonts w:ascii="Times New Roman" w:hAnsi="Times New Roman" w:eastAsia="Times New Roman" w:cs="Times New Roman"/>
          <w:lang w:val="en-GB"/>
        </w:rPr>
        <w:t xml:space="preserve"> and </w:t>
      </w:r>
      <w:r>
        <w:rPr>
          <w:rFonts w:ascii="SimSun" w:hAnsi="SimSun" w:eastAsia="SimSun" w:cs="Courier New"/>
          <w:lang w:val="en-GB"/>
        </w:rPr>
        <w:t>Property Size Description</w:t>
      </w:r>
      <w:r>
        <w:rPr>
          <w:rFonts w:ascii="Times New Roman" w:hAnsi="Times New Roman" w:eastAsia="Times New Roman" w:cs="Times New Roman"/>
          <w:lang w:val="en-GB"/>
        </w:rPr>
        <w:t xml:space="preserve">. </w:t>
      </w:r>
      <w:r>
        <w:rPr>
          <w:rFonts w:hint="default" w:ascii="Times New Roman" w:hAnsi="Times New Roman" w:eastAsia="Times New Roman" w:cs="Times New Roman"/>
          <w:lang w:val="en-GB"/>
        </w:rPr>
        <w:t>A critical structural deficiency was identified during the initial inspection: the raw dataset completely lacks spatial coordinates (Latitude and Longitude). While the Eircode field is present, its high missingness rate (23.03%) makes it an unreliable primary source for spatial analysis. Consequently, external geocoding is required to make the dataset suitable for location-based modeling.</w:t>
      </w:r>
      <w:r>
        <w:rPr>
          <w:rFonts w:hint="eastAsia" w:ascii="Times New Roman" w:hAnsi="Times New Roman" w:eastAsia="SimSun" w:cs="Times New Roman"/>
          <w:lang w:val="en-US" w:eastAsia="zh-CN"/>
        </w:rPr>
        <w:t xml:space="preserve"> </w:t>
      </w:r>
      <w:bookmarkStart w:id="0" w:name="_GoBack"/>
      <w:bookmarkEnd w:id="0"/>
      <w:r>
        <w:rPr>
          <w:rFonts w:ascii="Times New Roman" w:hAnsi="Times New Roman" w:eastAsia="Times New Roman" w:cs="Times New Roman"/>
          <w:lang w:val="en-GB"/>
        </w:rPr>
        <w:t>Finally, some categorical fields required standardisation before they could be safely encoded for modelling.</w:t>
      </w:r>
    </w:p>
    <w:p w14:paraId="73C30C7A">
      <w:pPr>
        <w:spacing w:before="100" w:beforeAutospacing="1" w:after="100" w:afterAutospacing="1"/>
        <w:rPr>
          <w:rFonts w:ascii="Times New Roman" w:hAnsi="Times New Roman" w:eastAsia="Times New Roman" w:cs="Times New Roman"/>
          <w:lang w:val="en-GB"/>
        </w:rPr>
      </w:pPr>
      <w:r>
        <w:rPr>
          <w:rFonts w:ascii="Times New Roman" w:hAnsi="Times New Roman" w:eastAsia="Times New Roman" w:cs="Times New Roman"/>
          <w:lang w:val="en-GB"/>
        </w:rPr>
        <w:t>These findings motivated a cleaning plan based on four principles:</w:t>
      </w:r>
    </w:p>
    <w:p w14:paraId="1CC2A067">
      <w:pPr>
        <w:numPr>
          <w:ilvl w:val="0"/>
          <w:numId w:val="2"/>
        </w:numPr>
        <w:spacing w:before="100" w:beforeAutospacing="1" w:after="100" w:afterAutospacing="1"/>
        <w:rPr>
          <w:rFonts w:ascii="Times New Roman" w:hAnsi="Times New Roman" w:eastAsia="Times New Roman" w:cs="Times New Roman"/>
          <w:lang w:val="en-GB"/>
        </w:rPr>
      </w:pPr>
      <w:r>
        <w:rPr>
          <w:rFonts w:ascii="Times New Roman" w:hAnsi="Times New Roman" w:eastAsia="Times New Roman" w:cs="Times New Roman"/>
          <w:lang w:val="en-GB"/>
        </w:rPr>
        <w:t>standardise all structural formatting first;</w:t>
      </w:r>
    </w:p>
    <w:p w14:paraId="71906176">
      <w:pPr>
        <w:numPr>
          <w:ilvl w:val="0"/>
          <w:numId w:val="2"/>
        </w:numPr>
        <w:spacing w:before="100" w:beforeAutospacing="1" w:after="100" w:afterAutospacing="1"/>
        <w:rPr>
          <w:rFonts w:ascii="Times New Roman" w:hAnsi="Times New Roman" w:eastAsia="Times New Roman" w:cs="Times New Roman"/>
          <w:lang w:val="en-GB"/>
        </w:rPr>
      </w:pPr>
      <w:r>
        <w:rPr>
          <w:rFonts w:ascii="Times New Roman" w:hAnsi="Times New Roman" w:eastAsia="Times New Roman" w:cs="Times New Roman"/>
          <w:lang w:val="en-GB"/>
        </w:rPr>
        <w:t>remove redundant or very high-missingness fields where justified;</w:t>
      </w:r>
    </w:p>
    <w:p w14:paraId="4AF7E819">
      <w:pPr>
        <w:numPr>
          <w:ilvl w:val="0"/>
          <w:numId w:val="2"/>
        </w:numPr>
        <w:spacing w:before="100" w:beforeAutospacing="1" w:after="100" w:afterAutospacing="1"/>
        <w:rPr>
          <w:rFonts w:ascii="Times New Roman" w:hAnsi="Times New Roman" w:eastAsia="Times New Roman" w:cs="Times New Roman"/>
          <w:lang w:val="en-GB"/>
        </w:rPr>
      </w:pPr>
      <w:r>
        <w:rPr>
          <w:rFonts w:ascii="Times New Roman" w:hAnsi="Times New Roman" w:eastAsia="Times New Roman" w:cs="Times New Roman"/>
          <w:lang w:val="en-GB"/>
        </w:rPr>
        <w:t>transform retained fields into appropriate data types;</w:t>
      </w:r>
    </w:p>
    <w:p w14:paraId="238FE711">
      <w:pPr>
        <w:numPr>
          <w:ilvl w:val="0"/>
          <w:numId w:val="2"/>
        </w:numPr>
        <w:spacing w:before="100" w:beforeAutospacing="1" w:after="100" w:afterAutospacing="1"/>
        <w:rPr>
          <w:rFonts w:ascii="Times New Roman" w:hAnsi="Times New Roman" w:eastAsia="Times New Roman" w:cs="Times New Roman"/>
          <w:lang w:val="en-GB"/>
        </w:rPr>
      </w:pPr>
      <w:r>
        <w:rPr>
          <w:rFonts w:ascii="Times New Roman" w:hAnsi="Times New Roman" w:eastAsia="Times New Roman" w:cs="Times New Roman"/>
          <w:lang w:val="en-GB"/>
        </w:rPr>
        <w:t>export a clean-final dataset with no missing values in the retained modelling features.</w:t>
      </w:r>
    </w:p>
    <w:p w14:paraId="571A25E3">
      <w:pPr>
        <w:rPr>
          <w:rFonts w:ascii="Times New Roman Bold" w:hAnsi="Times New Roman Bold" w:cs="Times New Roman Bold"/>
          <w:b/>
          <w:bCs/>
          <w:lang w:val="en-GB"/>
        </w:rPr>
      </w:pPr>
    </w:p>
    <w:p w14:paraId="3DA80E4B">
      <w:pPr>
        <w:numPr>
          <w:ilvl w:val="0"/>
          <w:numId w:val="1"/>
        </w:numPr>
        <w:rPr>
          <w:rFonts w:ascii="Times New Roman Bold" w:hAnsi="Times New Roman Bold" w:cs="Times New Roman Bold"/>
          <w:b/>
          <w:bCs/>
          <w:sz w:val="28"/>
          <w:szCs w:val="28"/>
        </w:rPr>
      </w:pPr>
      <w:r>
        <w:rPr>
          <w:rFonts w:ascii="Times New Roman Bold" w:hAnsi="Times New Roman Bold" w:cs="Times New Roman Bold"/>
          <w:b/>
          <w:bCs/>
          <w:sz w:val="28"/>
          <w:szCs w:val="28"/>
        </w:rPr>
        <w:t>Feature Decision Table</w:t>
      </w:r>
    </w:p>
    <w:p w14:paraId="0EFFE305">
      <w:pPr>
        <w:rPr>
          <w:rFonts w:ascii="Times New Roman Bold" w:hAnsi="Times New Roman Bold" w:cs="Times New Roman Bold"/>
          <w:b/>
          <w:bCs/>
        </w:rPr>
      </w:pPr>
    </w:p>
    <w:p w14:paraId="1CC5CF91">
      <w:pPr>
        <w:rPr>
          <w:rFonts w:ascii="Times New Roman Bold" w:hAnsi="Times New Roman Bold" w:cs="Times New Roman Bold"/>
          <w:b/>
          <w:bCs/>
        </w:rPr>
      </w:pPr>
    </w:p>
    <w:tbl>
      <w:tblPr>
        <w:tblStyle w:val="18"/>
        <w:tblW w:w="0" w:type="auto"/>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704"/>
        <w:gridCol w:w="1704"/>
        <w:gridCol w:w="1704"/>
        <w:gridCol w:w="1705"/>
        <w:gridCol w:w="1705"/>
      </w:tblGrid>
      <w:tr w14:paraId="253CD566">
        <w:tc>
          <w:tcPr>
            <w:tcW w:w="1704" w:type="dxa"/>
            <w:tcBorders>
              <w:bottom w:val="single" w:color="666666" w:themeColor="text1" w:themeTint="99" w:sz="12" w:space="0"/>
              <w:insideH w:val="single" w:sz="12" w:space="0"/>
            </w:tcBorders>
          </w:tcPr>
          <w:p w14:paraId="5D69092E">
            <w:pPr>
              <w:rPr>
                <w:rFonts w:ascii="Times New Roman" w:hAnsi="Times New Roman" w:cs="Times New Roman"/>
                <w:b/>
                <w:bCs/>
              </w:rPr>
            </w:pPr>
            <w:r>
              <w:rPr>
                <w:rFonts w:ascii="Times New Roman" w:hAnsi="Times New Roman" w:cs="Times New Roman"/>
                <w:b/>
                <w:bCs/>
              </w:rPr>
              <w:t>Feature Name</w:t>
            </w:r>
          </w:p>
        </w:tc>
        <w:tc>
          <w:tcPr>
            <w:tcW w:w="1704" w:type="dxa"/>
            <w:tcBorders>
              <w:bottom w:val="single" w:color="666666" w:themeColor="text1" w:themeTint="99" w:sz="12" w:space="0"/>
              <w:insideH w:val="single" w:sz="12" w:space="0"/>
            </w:tcBorders>
          </w:tcPr>
          <w:p w14:paraId="2192232C">
            <w:pPr>
              <w:rPr>
                <w:rFonts w:ascii="Times New Roman" w:hAnsi="Times New Roman" w:cs="Times New Roman"/>
                <w:b/>
                <w:bCs/>
              </w:rPr>
            </w:pPr>
            <w:r>
              <w:rPr>
                <w:rFonts w:ascii="Times New Roman" w:hAnsi="Times New Roman" w:cs="Times New Roman"/>
                <w:b/>
                <w:bCs/>
              </w:rPr>
              <w:t>Final Data Type</w:t>
            </w:r>
          </w:p>
        </w:tc>
        <w:tc>
          <w:tcPr>
            <w:tcW w:w="1704" w:type="dxa"/>
            <w:tcBorders>
              <w:bottom w:val="single" w:color="666666" w:themeColor="text1" w:themeTint="99" w:sz="12" w:space="0"/>
              <w:insideH w:val="single" w:sz="12" w:space="0"/>
            </w:tcBorders>
          </w:tcPr>
          <w:p w14:paraId="7E5C1351">
            <w:pPr>
              <w:rPr>
                <w:rFonts w:ascii="Times New Roman" w:hAnsi="Times New Roman" w:cs="Times New Roman"/>
                <w:b/>
                <w:bCs/>
              </w:rPr>
            </w:pPr>
            <w:r>
              <w:rPr>
                <w:rFonts w:ascii="Times New Roman" w:hAnsi="Times New Roman" w:cs="Times New Roman"/>
                <w:b/>
                <w:bCs/>
              </w:rPr>
              <w:t>Identified Issues</w:t>
            </w:r>
          </w:p>
        </w:tc>
        <w:tc>
          <w:tcPr>
            <w:tcW w:w="1705" w:type="dxa"/>
            <w:tcBorders>
              <w:bottom w:val="single" w:color="666666" w:themeColor="text1" w:themeTint="99" w:sz="12" w:space="0"/>
              <w:insideH w:val="single" w:sz="12" w:space="0"/>
            </w:tcBorders>
          </w:tcPr>
          <w:p w14:paraId="2D5DFD71">
            <w:pPr>
              <w:rPr>
                <w:rFonts w:ascii="Times New Roman" w:hAnsi="Times New Roman" w:cs="Times New Roman"/>
                <w:b/>
                <w:bCs/>
              </w:rPr>
            </w:pPr>
            <w:r>
              <w:rPr>
                <w:rFonts w:ascii="Times New Roman" w:hAnsi="Times New Roman" w:cs="Times New Roman"/>
                <w:b/>
                <w:bCs/>
              </w:rPr>
              <w:t>Solution Applied</w:t>
            </w:r>
          </w:p>
        </w:tc>
        <w:tc>
          <w:tcPr>
            <w:tcW w:w="1705" w:type="dxa"/>
            <w:tcBorders>
              <w:bottom w:val="single" w:color="666666" w:themeColor="text1" w:themeTint="99" w:sz="12" w:space="0"/>
              <w:insideH w:val="single" w:sz="12" w:space="0"/>
            </w:tcBorders>
          </w:tcPr>
          <w:p w14:paraId="09D0AB00">
            <w:pPr>
              <w:rPr>
                <w:rFonts w:ascii="Times New Roman" w:hAnsi="Times New Roman" w:cs="Times New Roman"/>
                <w:b/>
                <w:bCs/>
              </w:rPr>
            </w:pPr>
            <w:r>
              <w:rPr>
                <w:rFonts w:ascii="Times New Roman" w:hAnsi="Times New Roman" w:cs="Times New Roman"/>
                <w:b/>
                <w:bCs/>
              </w:rPr>
              <w:t>Justification</w:t>
            </w:r>
          </w:p>
        </w:tc>
      </w:tr>
      <w:tr w14:paraId="0B51FC43">
        <w:tc>
          <w:tcPr>
            <w:tcW w:w="1704" w:type="dxa"/>
          </w:tcPr>
          <w:p w14:paraId="29D37EF3">
            <w:pPr>
              <w:rPr>
                <w:rFonts w:ascii="Times New Roman" w:hAnsi="Times New Roman" w:cs="Times New Roman"/>
                <w:b/>
                <w:bCs/>
              </w:rPr>
            </w:pPr>
            <w:r>
              <w:rPr>
                <w:rFonts w:ascii="Times New Roman" w:hAnsi="Times New Roman" w:cs="Times New Roman"/>
                <w:b/>
                <w:bCs/>
              </w:rPr>
              <w:t>row_id</w:t>
            </w:r>
          </w:p>
        </w:tc>
        <w:tc>
          <w:tcPr>
            <w:tcW w:w="1704" w:type="dxa"/>
          </w:tcPr>
          <w:p w14:paraId="31BA0266">
            <w:pPr>
              <w:rPr>
                <w:rFonts w:ascii="Times New Roman" w:hAnsi="Times New Roman" w:cs="Times New Roman"/>
              </w:rPr>
            </w:pPr>
            <w:r>
              <w:rPr>
                <w:rFonts w:ascii="Times New Roman" w:hAnsi="Times New Roman" w:cs="Times New Roman"/>
              </w:rPr>
              <w:t>Integer</w:t>
            </w:r>
          </w:p>
        </w:tc>
        <w:tc>
          <w:tcPr>
            <w:tcW w:w="1704" w:type="dxa"/>
          </w:tcPr>
          <w:p w14:paraId="47FADFE4">
            <w:pPr>
              <w:rPr>
                <w:rFonts w:ascii="Times New Roman" w:hAnsi="Times New Roman" w:cs="Times New Roman"/>
              </w:rPr>
            </w:pPr>
            <w:r>
              <w:rPr>
                <w:rFonts w:ascii="Times New Roman" w:hAnsi="Times New Roman" w:cs="Times New Roman"/>
              </w:rPr>
              <w:t>Not part of raw source structure; added during processing</w:t>
            </w:r>
          </w:p>
        </w:tc>
        <w:tc>
          <w:tcPr>
            <w:tcW w:w="1705" w:type="dxa"/>
          </w:tcPr>
          <w:p w14:paraId="191840F7">
            <w:pPr>
              <w:rPr>
                <w:rFonts w:ascii="Times New Roman" w:hAnsi="Times New Roman" w:cs="Times New Roman"/>
              </w:rPr>
            </w:pPr>
          </w:p>
          <w:p w14:paraId="7E6C09B0">
            <w:pPr>
              <w:rPr>
                <w:rFonts w:ascii="Times New Roman" w:hAnsi="Times New Roman" w:cs="Times New Roman"/>
              </w:rPr>
            </w:pPr>
            <w:r>
              <w:rPr>
                <w:rFonts w:ascii="Times New Roman" w:hAnsi="Times New Roman" w:cs="Times New Roman"/>
              </w:rPr>
              <w:t>Added after duplicate removal</w:t>
            </w:r>
          </w:p>
        </w:tc>
        <w:tc>
          <w:tcPr>
            <w:tcW w:w="1705" w:type="dxa"/>
          </w:tcPr>
          <w:p w14:paraId="11BC994E">
            <w:pPr>
              <w:rPr>
                <w:rFonts w:ascii="Times New Roman" w:hAnsi="Times New Roman" w:cs="Times New Roman"/>
              </w:rPr>
            </w:pPr>
            <w:r>
              <w:rPr>
                <w:rFonts w:ascii="Times New Roman" w:hAnsi="Times New Roman" w:cs="Times New Roman"/>
              </w:rPr>
              <w:t>Preserves row alignment for later merging and feature engineering</w:t>
            </w:r>
          </w:p>
        </w:tc>
      </w:tr>
      <w:tr w14:paraId="02C7DBAB">
        <w:tc>
          <w:tcPr>
            <w:tcW w:w="1704" w:type="dxa"/>
          </w:tcPr>
          <w:p w14:paraId="63474F49">
            <w:pPr>
              <w:rPr>
                <w:rFonts w:ascii="Times New Roman" w:hAnsi="Times New Roman" w:cs="Times New Roman"/>
                <w:b/>
                <w:bCs/>
              </w:rPr>
            </w:pPr>
            <w:r>
              <w:rPr>
                <w:rFonts w:ascii="Times New Roman" w:hAnsi="Times New Roman" w:cs="Times New Roman"/>
                <w:b/>
                <w:bCs/>
              </w:rPr>
              <w:t>Date of Sale (dd/mm/yyyy)</w:t>
            </w:r>
          </w:p>
        </w:tc>
        <w:tc>
          <w:tcPr>
            <w:tcW w:w="1704" w:type="dxa"/>
          </w:tcPr>
          <w:p w14:paraId="41B97F28">
            <w:pPr>
              <w:rPr>
                <w:rFonts w:ascii="Times New Roman" w:hAnsi="Times New Roman" w:cs="Times New Roman"/>
              </w:rPr>
            </w:pPr>
            <w:r>
              <w:rPr>
                <w:rFonts w:ascii="Times New Roman" w:hAnsi="Times New Roman" w:cs="Times New Roman"/>
              </w:rPr>
              <w:t>Raw string date</w:t>
            </w:r>
          </w:p>
        </w:tc>
        <w:tc>
          <w:tcPr>
            <w:tcW w:w="1704" w:type="dxa"/>
          </w:tcPr>
          <w:p w14:paraId="045000FE">
            <w:pPr>
              <w:rPr>
                <w:rFonts w:ascii="Times New Roman" w:hAnsi="Times New Roman" w:cs="Times New Roman"/>
              </w:rPr>
            </w:pPr>
            <w:r>
              <w:rPr>
                <w:rFonts w:ascii="Times New Roman" w:hAnsi="Times New Roman" w:cs="Times New Roman"/>
              </w:rPr>
              <w:t>Stored as text; not directly suitable for analysis</w:t>
            </w:r>
          </w:p>
        </w:tc>
        <w:tc>
          <w:tcPr>
            <w:tcW w:w="1705" w:type="dxa"/>
          </w:tcPr>
          <w:p w14:paraId="0C42D37D">
            <w:pPr>
              <w:rPr>
                <w:rFonts w:ascii="Times New Roman" w:hAnsi="Times New Roman" w:cs="Times New Roman"/>
              </w:rPr>
            </w:pPr>
            <w:r>
              <w:rPr>
                <w:rFonts w:ascii="Times New Roman" w:hAnsi="Times New Roman" w:cs="Times New Roman"/>
              </w:rPr>
              <w:t xml:space="preserve">Converted to datetime, then decomposed into </w:t>
            </w:r>
            <w:r>
              <w:rPr>
                <w:rStyle w:val="7"/>
                <w:rFonts w:ascii="Times New Roman" w:hAnsi="Times New Roman" w:cs="Times New Roman"/>
              </w:rPr>
              <w:t>year</w:t>
            </w:r>
            <w:r>
              <w:rPr>
                <w:rFonts w:ascii="Times New Roman" w:hAnsi="Times New Roman" w:cs="Times New Roman"/>
              </w:rPr>
              <w:t xml:space="preserve">, </w:t>
            </w:r>
            <w:r>
              <w:rPr>
                <w:rStyle w:val="7"/>
                <w:rFonts w:ascii="Times New Roman" w:hAnsi="Times New Roman" w:cs="Times New Roman"/>
              </w:rPr>
              <w:t>quarter</w:t>
            </w:r>
            <w:r>
              <w:rPr>
                <w:rFonts w:ascii="Times New Roman" w:hAnsi="Times New Roman" w:cs="Times New Roman"/>
              </w:rPr>
              <w:t xml:space="preserve">, and </w:t>
            </w:r>
            <w:r>
              <w:rPr>
                <w:rStyle w:val="7"/>
                <w:rFonts w:ascii="Times New Roman" w:hAnsi="Times New Roman" w:cs="Times New Roman"/>
              </w:rPr>
              <w:t>year_norm</w:t>
            </w:r>
            <w:r>
              <w:rPr>
                <w:rFonts w:ascii="Times New Roman" w:hAnsi="Times New Roman" w:cs="Times New Roman"/>
              </w:rPr>
              <w:t>; original raw date field removed</w:t>
            </w:r>
          </w:p>
        </w:tc>
        <w:tc>
          <w:tcPr>
            <w:tcW w:w="1705" w:type="dxa"/>
          </w:tcPr>
          <w:p w14:paraId="7AB81343">
            <w:pPr>
              <w:rPr>
                <w:rFonts w:ascii="Times New Roman" w:hAnsi="Times New Roman" w:cs="Times New Roman"/>
              </w:rPr>
            </w:pPr>
            <w:r>
              <w:rPr>
                <w:rFonts w:ascii="Times New Roman" w:hAnsi="Times New Roman" w:cs="Times New Roman"/>
              </w:rPr>
              <w:t>Makes temporal information usable for exploratory analysis and modelling</w:t>
            </w:r>
          </w:p>
        </w:tc>
      </w:tr>
      <w:tr w14:paraId="0010D2E1">
        <w:tc>
          <w:tcPr>
            <w:tcW w:w="1704" w:type="dxa"/>
          </w:tcPr>
          <w:p w14:paraId="4842D901">
            <w:pPr>
              <w:rPr>
                <w:rFonts w:ascii="Times New Roman" w:hAnsi="Times New Roman" w:cs="Times New Roman"/>
                <w:b/>
                <w:bCs/>
              </w:rPr>
            </w:pPr>
            <w:r>
              <w:rPr>
                <w:rFonts w:ascii="Times New Roman" w:hAnsi="Times New Roman" w:cs="Times New Roman"/>
                <w:b/>
                <w:bCs/>
              </w:rPr>
              <w:t>County</w:t>
            </w:r>
          </w:p>
        </w:tc>
        <w:tc>
          <w:tcPr>
            <w:tcW w:w="1704" w:type="dxa"/>
          </w:tcPr>
          <w:p w14:paraId="478BE9CF">
            <w:pPr>
              <w:rPr>
                <w:rFonts w:ascii="Times New Roman" w:hAnsi="Times New Roman" w:cs="Times New Roman"/>
              </w:rPr>
            </w:pPr>
            <w:r>
              <w:rPr>
                <w:rFonts w:ascii="Times New Roman" w:hAnsi="Times New Roman" w:cs="Times New Roman"/>
              </w:rPr>
              <w:t>Categorical/Text</w:t>
            </w:r>
          </w:p>
        </w:tc>
        <w:tc>
          <w:tcPr>
            <w:tcW w:w="1704" w:type="dxa"/>
          </w:tcPr>
          <w:p w14:paraId="5D959100">
            <w:pPr>
              <w:rPr>
                <w:rFonts w:ascii="Times New Roman" w:hAnsi="Times New Roman" w:cs="Times New Roman"/>
              </w:rPr>
            </w:pPr>
            <w:r>
              <w:rPr>
                <w:rFonts w:ascii="Times New Roman" w:hAnsi="Times New Roman" w:cs="Times New Roman"/>
              </w:rPr>
              <w:t>Requires standardisation of formatting</w:t>
            </w:r>
          </w:p>
        </w:tc>
        <w:tc>
          <w:tcPr>
            <w:tcW w:w="1705" w:type="dxa"/>
          </w:tcPr>
          <w:p w14:paraId="4DE88EEE">
            <w:pPr>
              <w:rPr>
                <w:rFonts w:ascii="Times New Roman" w:hAnsi="Times New Roman" w:cs="Times New Roman"/>
              </w:rPr>
            </w:pPr>
            <w:r>
              <w:rPr>
                <w:rFonts w:ascii="Times New Roman" w:hAnsi="Times New Roman" w:cs="Times New Roman"/>
              </w:rPr>
              <w:t>Retained and whitespace-standardised</w:t>
            </w:r>
          </w:p>
        </w:tc>
        <w:tc>
          <w:tcPr>
            <w:tcW w:w="1705" w:type="dxa"/>
          </w:tcPr>
          <w:p w14:paraId="6DC029CF">
            <w:pPr>
              <w:rPr>
                <w:rFonts w:ascii="Times New Roman" w:hAnsi="Times New Roman" w:cs="Times New Roman"/>
              </w:rPr>
            </w:pPr>
            <w:r>
              <w:rPr>
                <w:rFonts w:ascii="Times New Roman" w:hAnsi="Times New Roman" w:cs="Times New Roman"/>
              </w:rPr>
              <w:t>Important explanatory location feature for both analysis and modelling</w:t>
            </w:r>
          </w:p>
        </w:tc>
      </w:tr>
      <w:tr w14:paraId="70A4339D">
        <w:tc>
          <w:tcPr>
            <w:tcW w:w="1704" w:type="dxa"/>
          </w:tcPr>
          <w:p w14:paraId="2076ABC6">
            <w:pPr>
              <w:rPr>
                <w:rFonts w:ascii="Times New Roman" w:hAnsi="Times New Roman" w:cs="Times New Roman"/>
                <w:b/>
                <w:bCs/>
              </w:rPr>
            </w:pPr>
            <w:r>
              <w:rPr>
                <w:rFonts w:ascii="Times New Roman" w:hAnsi="Times New Roman" w:cs="Times New Roman"/>
                <w:b/>
                <w:bCs/>
              </w:rPr>
              <w:t>Address</w:t>
            </w:r>
          </w:p>
        </w:tc>
        <w:tc>
          <w:tcPr>
            <w:tcW w:w="1704" w:type="dxa"/>
          </w:tcPr>
          <w:p w14:paraId="03A8A0F4">
            <w:pPr>
              <w:rPr>
                <w:rFonts w:ascii="Times New Roman" w:hAnsi="Times New Roman" w:cs="Times New Roman"/>
              </w:rPr>
            </w:pPr>
            <w:r>
              <w:rPr>
                <w:rFonts w:ascii="Times New Roman" w:hAnsi="Times New Roman" w:cs="Times New Roman"/>
              </w:rPr>
              <w:t xml:space="preserve">Categorical/Text  </w:t>
            </w:r>
          </w:p>
        </w:tc>
        <w:tc>
          <w:tcPr>
            <w:tcW w:w="1704" w:type="dxa"/>
          </w:tcPr>
          <w:p w14:paraId="77335F78">
            <w:pPr>
              <w:rPr>
                <w:rFonts w:ascii="Times New Roman" w:hAnsi="Times New Roman" w:cs="Times New Roman"/>
              </w:rPr>
            </w:pPr>
            <w:r>
              <w:rPr>
                <w:rFonts w:ascii="Times New Roman" w:hAnsi="Times New Roman" w:cs="Times New Roman"/>
              </w:rPr>
              <w:t>High-cardinality text field; some missingness</w:t>
            </w:r>
          </w:p>
        </w:tc>
        <w:tc>
          <w:tcPr>
            <w:tcW w:w="1705" w:type="dxa"/>
          </w:tcPr>
          <w:p w14:paraId="08E26C98">
            <w:pPr>
              <w:rPr>
                <w:rFonts w:ascii="Times New Roman" w:hAnsi="Times New Roman" w:cs="Times New Roman"/>
              </w:rPr>
            </w:pPr>
            <w:r>
              <w:rPr>
                <w:rFonts w:ascii="Times New Roman" w:hAnsi="Times New Roman" w:cs="Times New Roman"/>
              </w:rPr>
              <w:t>Retained, whitespace-standardised, and missing values filled where necessary for retained clean workflow</w:t>
            </w:r>
          </w:p>
        </w:tc>
        <w:tc>
          <w:tcPr>
            <w:tcW w:w="1705" w:type="dxa"/>
          </w:tcPr>
          <w:p w14:paraId="716CA934">
            <w:pPr>
              <w:rPr>
                <w:rFonts w:ascii="Times New Roman" w:hAnsi="Times New Roman" w:cs="Times New Roman"/>
              </w:rPr>
            </w:pPr>
            <w:r>
              <w:rPr>
                <w:rFonts w:ascii="Times New Roman" w:hAnsi="Times New Roman" w:cs="Times New Roman"/>
              </w:rPr>
              <w:t>Preserves raw location text for later spatial enrichment and record interpretation</w:t>
            </w:r>
          </w:p>
        </w:tc>
      </w:tr>
      <w:tr w14:paraId="4ED75938">
        <w:tc>
          <w:tcPr>
            <w:tcW w:w="1704" w:type="dxa"/>
          </w:tcPr>
          <w:p w14:paraId="665CF44F">
            <w:pPr>
              <w:rPr>
                <w:rFonts w:ascii="Times New Roman" w:hAnsi="Times New Roman" w:cs="Times New Roman"/>
                <w:b/>
                <w:bCs/>
              </w:rPr>
            </w:pPr>
            <w:r>
              <w:rPr>
                <w:rFonts w:ascii="Times New Roman" w:hAnsi="Times New Roman" w:cs="Times New Roman"/>
                <w:b/>
                <w:bCs/>
              </w:rPr>
              <w:t>Eircode</w:t>
            </w:r>
          </w:p>
        </w:tc>
        <w:tc>
          <w:tcPr>
            <w:tcW w:w="1704" w:type="dxa"/>
          </w:tcPr>
          <w:p w14:paraId="171578A8">
            <w:pPr>
              <w:rPr>
                <w:rFonts w:ascii="Times New Roman" w:hAnsi="Times New Roman" w:cs="Times New Roman"/>
              </w:rPr>
            </w:pPr>
            <w:r>
              <w:rPr>
                <w:rFonts w:ascii="Times New Roman" w:hAnsi="Times New Roman" w:cs="Times New Roman"/>
              </w:rPr>
              <w:t>Categorical/Text</w:t>
            </w:r>
          </w:p>
        </w:tc>
        <w:tc>
          <w:tcPr>
            <w:tcW w:w="1704" w:type="dxa"/>
          </w:tcPr>
          <w:p w14:paraId="2DC28579">
            <w:pPr>
              <w:rPr>
                <w:rFonts w:ascii="Times New Roman" w:hAnsi="Times New Roman" w:cs="Times New Roman"/>
              </w:rPr>
            </w:pPr>
            <w:r>
              <w:rPr>
                <w:rFonts w:ascii="Times New Roman" w:hAnsi="Times New Roman" w:cs="Times New Roman"/>
              </w:rPr>
              <w:t>Very high missingness</w:t>
            </w:r>
          </w:p>
        </w:tc>
        <w:tc>
          <w:tcPr>
            <w:tcW w:w="1705" w:type="dxa"/>
          </w:tcPr>
          <w:p w14:paraId="1A872E87">
            <w:pPr>
              <w:rPr>
                <w:rFonts w:ascii="Times New Roman" w:hAnsi="Times New Roman" w:cs="Times New Roman"/>
              </w:rPr>
            </w:pPr>
            <w:r>
              <w:rPr>
                <w:rFonts w:ascii="Times New Roman" w:hAnsi="Times New Roman" w:cs="Times New Roman"/>
              </w:rPr>
              <w:t>Removed from the clean-final dataset</w:t>
            </w:r>
          </w:p>
        </w:tc>
        <w:tc>
          <w:tcPr>
            <w:tcW w:w="1705" w:type="dxa"/>
          </w:tcPr>
          <w:p w14:paraId="4F10B407">
            <w:pPr>
              <w:rPr>
                <w:rFonts w:ascii="Times New Roman" w:hAnsi="Times New Roman" w:cs="Times New Roman"/>
              </w:rPr>
            </w:pPr>
            <w:r>
              <w:rPr>
                <w:rFonts w:ascii="Times New Roman" w:hAnsi="Times New Roman" w:cs="Times New Roman"/>
              </w:rPr>
              <w:t>Insufficient completeness for reliable direct use; spatial information is later recovered through external geocoding</w:t>
            </w:r>
          </w:p>
        </w:tc>
      </w:tr>
      <w:tr w14:paraId="3A3F8A66">
        <w:tc>
          <w:tcPr>
            <w:tcW w:w="1704" w:type="dxa"/>
          </w:tcPr>
          <w:p w14:paraId="368689AB">
            <w:pPr>
              <w:rPr>
                <w:rFonts w:ascii="Times New Roman" w:hAnsi="Times New Roman" w:cs="Times New Roman"/>
                <w:b/>
                <w:bCs/>
              </w:rPr>
            </w:pPr>
            <w:r>
              <w:rPr>
                <w:rFonts w:ascii="Times New Roman" w:hAnsi="Times New Roman" w:cs="Times New Roman"/>
                <w:b/>
                <w:bCs/>
              </w:rPr>
              <w:t>Price (€)</w:t>
            </w:r>
          </w:p>
        </w:tc>
        <w:tc>
          <w:tcPr>
            <w:tcW w:w="1704" w:type="dxa"/>
          </w:tcPr>
          <w:p w14:paraId="625C342B">
            <w:pPr>
              <w:rPr>
                <w:rFonts w:ascii="Times New Roman" w:hAnsi="Times New Roman" w:cs="Times New Roman"/>
              </w:rPr>
            </w:pPr>
            <w:r>
              <w:rPr>
                <w:rFonts w:ascii="Times New Roman" w:hAnsi="Times New Roman" w:cs="Times New Roman"/>
              </w:rPr>
              <w:t>Raw text currency field</w:t>
            </w:r>
          </w:p>
        </w:tc>
        <w:tc>
          <w:tcPr>
            <w:tcW w:w="1704" w:type="dxa"/>
          </w:tcPr>
          <w:p w14:paraId="064A47AA">
            <w:pPr>
              <w:rPr>
                <w:rFonts w:ascii="Times New Roman" w:hAnsi="Times New Roman" w:cs="Times New Roman"/>
              </w:rPr>
            </w:pPr>
            <w:r>
              <w:rPr>
                <w:rFonts w:ascii="Times New Roman" w:hAnsi="Times New Roman" w:cs="Times New Roman"/>
              </w:rPr>
              <w:t>Stored as string due to euro symbol and commas</w:t>
            </w:r>
          </w:p>
        </w:tc>
        <w:tc>
          <w:tcPr>
            <w:tcW w:w="1705" w:type="dxa"/>
          </w:tcPr>
          <w:p w14:paraId="6AAC09C4">
            <w:pPr>
              <w:rPr>
                <w:rFonts w:ascii="Times New Roman" w:hAnsi="Times New Roman" w:cs="Times New Roman"/>
              </w:rPr>
            </w:pPr>
            <w:r>
              <w:rPr>
                <w:rFonts w:ascii="Times New Roman" w:hAnsi="Times New Roman" w:cs="Times New Roman"/>
              </w:rPr>
              <w:t xml:space="preserve">Symbols removed and converted into numeric </w:t>
            </w:r>
            <w:r>
              <w:rPr>
                <w:rStyle w:val="7"/>
                <w:rFonts w:ascii="Times New Roman" w:hAnsi="Times New Roman" w:cs="Times New Roman"/>
              </w:rPr>
              <w:t>Price(1,000 €)</w:t>
            </w:r>
            <w:r>
              <w:rPr>
                <w:rFonts w:ascii="Times New Roman" w:hAnsi="Times New Roman" w:cs="Times New Roman"/>
              </w:rPr>
              <w:t>; original field removed</w:t>
            </w:r>
          </w:p>
        </w:tc>
        <w:tc>
          <w:tcPr>
            <w:tcW w:w="1705" w:type="dxa"/>
          </w:tcPr>
          <w:p w14:paraId="64FF8934">
            <w:pPr>
              <w:rPr>
                <w:rFonts w:ascii="Times New Roman" w:hAnsi="Times New Roman" w:cs="Times New Roman"/>
              </w:rPr>
            </w:pPr>
            <w:r>
              <w:rPr>
                <w:rFonts w:ascii="Times New Roman" w:hAnsi="Times New Roman" w:cs="Times New Roman"/>
              </w:rPr>
              <w:t>Required to enable descriptive statistics, outlier handling, and modelling</w:t>
            </w:r>
          </w:p>
        </w:tc>
      </w:tr>
      <w:tr w14:paraId="736A8ED9">
        <w:tc>
          <w:tcPr>
            <w:tcW w:w="1704" w:type="dxa"/>
          </w:tcPr>
          <w:p w14:paraId="32AD4438">
            <w:pPr>
              <w:rPr>
                <w:rFonts w:ascii="Times New Roman" w:hAnsi="Times New Roman" w:cs="Times New Roman"/>
                <w:b/>
                <w:bCs/>
              </w:rPr>
            </w:pPr>
            <w:r>
              <w:rPr>
                <w:rFonts w:ascii="Times New Roman" w:hAnsi="Times New Roman" w:cs="Times New Roman"/>
                <w:b/>
                <w:bCs/>
              </w:rPr>
              <w:t>Property Size Description</w:t>
            </w:r>
          </w:p>
        </w:tc>
        <w:tc>
          <w:tcPr>
            <w:tcW w:w="1704" w:type="dxa"/>
          </w:tcPr>
          <w:p w14:paraId="3C1EF807">
            <w:pPr>
              <w:rPr>
                <w:rFonts w:ascii="Times New Roman" w:hAnsi="Times New Roman" w:cs="Times New Roman"/>
              </w:rPr>
            </w:pPr>
            <w:r>
              <w:rPr>
                <w:rFonts w:ascii="Times New Roman" w:hAnsi="Times New Roman" w:cs="Times New Roman"/>
              </w:rPr>
              <w:t>Categorical/Text</w:t>
            </w:r>
          </w:p>
        </w:tc>
        <w:tc>
          <w:tcPr>
            <w:tcW w:w="1704" w:type="dxa"/>
          </w:tcPr>
          <w:p w14:paraId="0B1DFCAA">
            <w:pPr>
              <w:rPr>
                <w:rFonts w:ascii="Times New Roman" w:hAnsi="Times New Roman" w:cs="Times New Roman"/>
              </w:rPr>
            </w:pPr>
            <w:r>
              <w:rPr>
                <w:rFonts w:ascii="Times New Roman" w:hAnsi="Times New Roman" w:cs="Times New Roman"/>
              </w:rPr>
              <w:t>Very high missingness</w:t>
            </w:r>
          </w:p>
        </w:tc>
        <w:tc>
          <w:tcPr>
            <w:tcW w:w="1705" w:type="dxa"/>
          </w:tcPr>
          <w:p w14:paraId="1872AA40">
            <w:pPr>
              <w:rPr>
                <w:rFonts w:ascii="Times New Roman" w:hAnsi="Times New Roman" w:cs="Times New Roman"/>
              </w:rPr>
            </w:pPr>
            <w:r>
              <w:rPr>
                <w:rFonts w:ascii="Times New Roman" w:hAnsi="Times New Roman" w:cs="Times New Roman"/>
              </w:rPr>
              <w:t>Removed from the clean-final dataset</w:t>
            </w:r>
          </w:p>
        </w:tc>
        <w:tc>
          <w:tcPr>
            <w:tcW w:w="1705" w:type="dxa"/>
          </w:tcPr>
          <w:p w14:paraId="01FA1E57">
            <w:pPr>
              <w:rPr>
                <w:rFonts w:ascii="Times New Roman" w:hAnsi="Times New Roman" w:cs="Times New Roman"/>
              </w:rPr>
            </w:pPr>
            <w:r>
              <w:rPr>
                <w:rFonts w:ascii="Times New Roman" w:hAnsi="Times New Roman" w:cs="Times New Roman"/>
              </w:rPr>
              <w:t>High incompleteness and limited direct value in the clean-final modelling workflow</w:t>
            </w:r>
          </w:p>
        </w:tc>
      </w:tr>
      <w:tr w14:paraId="2805CA82">
        <w:tc>
          <w:tcPr>
            <w:tcW w:w="1704" w:type="dxa"/>
          </w:tcPr>
          <w:p w14:paraId="59F71138">
            <w:pPr>
              <w:rPr>
                <w:rFonts w:ascii="Times New Roman" w:hAnsi="Times New Roman" w:cs="Times New Roman"/>
                <w:b/>
                <w:bCs/>
              </w:rPr>
            </w:pPr>
            <w:r>
              <w:rPr>
                <w:rFonts w:ascii="Times New Roman" w:hAnsi="Times New Roman" w:cs="Times New Roman"/>
                <w:b/>
                <w:bCs/>
              </w:rPr>
              <w:t>Description of Property</w:t>
            </w:r>
          </w:p>
        </w:tc>
        <w:tc>
          <w:tcPr>
            <w:tcW w:w="1704" w:type="dxa"/>
          </w:tcPr>
          <w:p w14:paraId="765C81CF">
            <w:pPr>
              <w:rPr>
                <w:rFonts w:ascii="Times New Roman" w:hAnsi="Times New Roman" w:cs="Times New Roman"/>
              </w:rPr>
            </w:pPr>
            <w:r>
              <w:rPr>
                <w:rFonts w:ascii="Times New Roman" w:hAnsi="Times New Roman" w:cs="Times New Roman"/>
              </w:rPr>
              <w:t>Categorical/Text</w:t>
            </w:r>
          </w:p>
        </w:tc>
        <w:tc>
          <w:tcPr>
            <w:tcW w:w="1704" w:type="dxa"/>
          </w:tcPr>
          <w:p w14:paraId="55ECD4B0">
            <w:pPr>
              <w:rPr>
                <w:rFonts w:ascii="Times New Roman" w:hAnsi="Times New Roman" w:cs="Times New Roman"/>
              </w:rPr>
            </w:pPr>
            <w:r>
              <w:rPr>
                <w:rFonts w:ascii="Times New Roman" w:hAnsi="Times New Roman" w:cs="Times New Roman"/>
              </w:rPr>
              <w:t>Mixed text values, including Irish/English label variation and some missingness</w:t>
            </w:r>
          </w:p>
        </w:tc>
        <w:tc>
          <w:tcPr>
            <w:tcW w:w="1705" w:type="dxa"/>
          </w:tcPr>
          <w:p w14:paraId="79A852C1">
            <w:pPr>
              <w:rPr>
                <w:rFonts w:ascii="Times New Roman" w:hAnsi="Times New Roman" w:cs="Times New Roman"/>
              </w:rPr>
            </w:pPr>
            <w:r>
              <w:rPr>
                <w:rFonts w:ascii="Times New Roman" w:hAnsi="Times New Roman" w:cs="Times New Roman"/>
              </w:rPr>
              <w:t xml:space="preserve">Standardised, harmonised, and converted into binary derived feature </w:t>
            </w:r>
            <w:r>
              <w:rPr>
                <w:rStyle w:val="7"/>
                <w:rFonts w:ascii="Times New Roman" w:hAnsi="Times New Roman" w:cs="Times New Roman"/>
              </w:rPr>
              <w:t>is_new_property</w:t>
            </w:r>
            <w:r>
              <w:rPr>
                <w:rFonts w:ascii="Times New Roman" w:hAnsi="Times New Roman" w:cs="Times New Roman"/>
              </w:rPr>
              <w:t>; original text field removed</w:t>
            </w:r>
          </w:p>
        </w:tc>
        <w:tc>
          <w:tcPr>
            <w:tcW w:w="1705" w:type="dxa"/>
          </w:tcPr>
          <w:p w14:paraId="497BA8C1">
            <w:pPr>
              <w:rPr>
                <w:rFonts w:ascii="Times New Roman" w:hAnsi="Times New Roman" w:cs="Times New Roman"/>
              </w:rPr>
            </w:pPr>
            <w:r>
              <w:rPr>
                <w:rFonts w:ascii="Times New Roman" w:hAnsi="Times New Roman" w:cs="Times New Roman"/>
              </w:rPr>
              <w:t>Produces a compact, model-ready property-status feature</w:t>
            </w:r>
          </w:p>
        </w:tc>
      </w:tr>
      <w:tr w14:paraId="3CFDCC1F">
        <w:tc>
          <w:tcPr>
            <w:tcW w:w="1704" w:type="dxa"/>
          </w:tcPr>
          <w:p w14:paraId="0136A144">
            <w:pPr>
              <w:rPr>
                <w:rFonts w:ascii="Times New Roman" w:hAnsi="Times New Roman" w:cs="Times New Roman"/>
                <w:b/>
                <w:bCs/>
              </w:rPr>
            </w:pPr>
            <w:r>
              <w:rPr>
                <w:rFonts w:ascii="Times New Roman" w:hAnsi="Times New Roman" w:cs="Times New Roman"/>
                <w:b/>
                <w:bCs/>
              </w:rPr>
              <w:t>Not Full Market Price</w:t>
            </w:r>
          </w:p>
        </w:tc>
        <w:tc>
          <w:tcPr>
            <w:tcW w:w="1704" w:type="dxa"/>
          </w:tcPr>
          <w:p w14:paraId="27D55E7C">
            <w:pPr>
              <w:rPr>
                <w:rFonts w:ascii="Times New Roman" w:hAnsi="Times New Roman" w:cs="Times New Roman"/>
              </w:rPr>
            </w:pPr>
            <w:r>
              <w:rPr>
                <w:rFonts w:ascii="Times New Roman" w:hAnsi="Times New Roman" w:cs="Times New Roman"/>
              </w:rPr>
              <w:t>Binary categorical</w:t>
            </w:r>
          </w:p>
        </w:tc>
        <w:tc>
          <w:tcPr>
            <w:tcW w:w="1704" w:type="dxa"/>
          </w:tcPr>
          <w:p w14:paraId="3F96780A">
            <w:pPr>
              <w:rPr>
                <w:rFonts w:ascii="Times New Roman" w:hAnsi="Times New Roman" w:cs="Times New Roman"/>
              </w:rPr>
            </w:pPr>
            <w:r>
              <w:rPr>
                <w:rFonts w:ascii="Times New Roman" w:hAnsi="Times New Roman" w:cs="Times New Roman"/>
              </w:rPr>
              <w:t>Text Yes/No values; some missingness</w:t>
            </w:r>
          </w:p>
        </w:tc>
        <w:tc>
          <w:tcPr>
            <w:tcW w:w="1705" w:type="dxa"/>
          </w:tcPr>
          <w:p w14:paraId="0A87F76F">
            <w:pPr>
              <w:rPr>
                <w:rFonts w:ascii="Times New Roman" w:hAnsi="Times New Roman" w:cs="Times New Roman"/>
              </w:rPr>
            </w:pPr>
            <w:r>
              <w:rPr>
                <w:rFonts w:ascii="Times New Roman" w:hAnsi="Times New Roman" w:cs="Times New Roman"/>
              </w:rPr>
              <w:t>Standardised and converted to binary numeric format</w:t>
            </w:r>
          </w:p>
        </w:tc>
        <w:tc>
          <w:tcPr>
            <w:tcW w:w="1705" w:type="dxa"/>
          </w:tcPr>
          <w:p w14:paraId="1D2C0663">
            <w:pPr>
              <w:rPr>
                <w:rFonts w:ascii="Times New Roman" w:hAnsi="Times New Roman" w:cs="Times New Roman"/>
              </w:rPr>
            </w:pPr>
            <w:r>
              <w:rPr>
                <w:rFonts w:ascii="Times New Roman" w:hAnsi="Times New Roman" w:cs="Times New Roman"/>
              </w:rPr>
              <w:t>Retains transaction information in a form suitable for modelling</w:t>
            </w:r>
          </w:p>
        </w:tc>
      </w:tr>
      <w:tr w14:paraId="434CA701">
        <w:tc>
          <w:tcPr>
            <w:tcW w:w="1704" w:type="dxa"/>
          </w:tcPr>
          <w:p w14:paraId="6F8C9807">
            <w:pPr>
              <w:rPr>
                <w:rFonts w:ascii="Times New Roman" w:hAnsi="Times New Roman" w:cs="Times New Roman"/>
                <w:b/>
                <w:bCs/>
              </w:rPr>
            </w:pPr>
            <w:r>
              <w:rPr>
                <w:rFonts w:ascii="Times New Roman" w:hAnsi="Times New Roman" w:cs="Times New Roman"/>
                <w:b/>
                <w:bCs/>
              </w:rPr>
              <w:t>VAT Exclusive</w:t>
            </w:r>
          </w:p>
        </w:tc>
        <w:tc>
          <w:tcPr>
            <w:tcW w:w="1704" w:type="dxa"/>
          </w:tcPr>
          <w:p w14:paraId="7FB12B6A">
            <w:pPr>
              <w:rPr>
                <w:rFonts w:ascii="Times New Roman" w:hAnsi="Times New Roman" w:cs="Times New Roman"/>
              </w:rPr>
            </w:pPr>
            <w:r>
              <w:rPr>
                <w:rFonts w:ascii="Times New Roman" w:hAnsi="Times New Roman" w:cs="Times New Roman"/>
              </w:rPr>
              <w:t>Binary categorical</w:t>
            </w:r>
          </w:p>
        </w:tc>
        <w:tc>
          <w:tcPr>
            <w:tcW w:w="1704" w:type="dxa"/>
          </w:tcPr>
          <w:p w14:paraId="4ADB90D8">
            <w:pPr>
              <w:rPr>
                <w:rFonts w:ascii="Times New Roman" w:hAnsi="Times New Roman" w:cs="Times New Roman"/>
              </w:rPr>
            </w:pPr>
            <w:r>
              <w:rPr>
                <w:rFonts w:ascii="Times New Roman" w:hAnsi="Times New Roman" w:cs="Times New Roman"/>
              </w:rPr>
              <w:t>Text Yes/No values; some missingness</w:t>
            </w:r>
          </w:p>
        </w:tc>
        <w:tc>
          <w:tcPr>
            <w:tcW w:w="1705" w:type="dxa"/>
          </w:tcPr>
          <w:p w14:paraId="64509ABD">
            <w:pPr>
              <w:rPr>
                <w:rFonts w:ascii="Times New Roman" w:hAnsi="Times New Roman" w:cs="Times New Roman"/>
              </w:rPr>
            </w:pPr>
            <w:r>
              <w:rPr>
                <w:rFonts w:ascii="Times New Roman" w:hAnsi="Times New Roman" w:cs="Times New Roman"/>
              </w:rPr>
              <w:t>Standardised and converted to binary numeric format</w:t>
            </w:r>
          </w:p>
        </w:tc>
        <w:tc>
          <w:tcPr>
            <w:tcW w:w="1705" w:type="dxa"/>
          </w:tcPr>
          <w:p w14:paraId="01A7FA57">
            <w:pPr>
              <w:pStyle w:val="8"/>
              <w:rPr>
                <w:rFonts w:eastAsia="Times New Roman"/>
                <w:sz w:val="20"/>
                <w:szCs w:val="20"/>
                <w:lang w:val="en-GB"/>
              </w:rPr>
            </w:pPr>
            <w:r>
              <w:rPr>
                <w:rStyle w:val="9"/>
                <w:sz w:val="20"/>
                <w:szCs w:val="20"/>
              </w:rPr>
              <w:t>Retains transaction information in a form suitable for modelling</w:t>
            </w:r>
          </w:p>
          <w:p w14:paraId="034D3090">
            <w:pPr>
              <w:rPr>
                <w:rFonts w:ascii="Times New Roman" w:hAnsi="Times New Roman" w:cs="Times New Roman"/>
                <w:lang w:val="en-GB"/>
              </w:rPr>
            </w:pPr>
          </w:p>
        </w:tc>
      </w:tr>
      <w:tr w14:paraId="48513EA8">
        <w:tc>
          <w:tcPr>
            <w:tcW w:w="1704" w:type="dxa"/>
          </w:tcPr>
          <w:p w14:paraId="6EAFAF06">
            <w:pPr>
              <w:rPr>
                <w:rFonts w:ascii="Times New Roman" w:hAnsi="Times New Roman" w:cs="Times New Roman"/>
                <w:b/>
                <w:bCs/>
              </w:rPr>
            </w:pPr>
            <w:r>
              <w:rPr>
                <w:rFonts w:ascii="Times New Roman" w:hAnsi="Times New Roman" w:cs="Times New Roman"/>
                <w:b/>
                <w:bCs/>
              </w:rPr>
              <w:t>year</w:t>
            </w:r>
          </w:p>
        </w:tc>
        <w:tc>
          <w:tcPr>
            <w:tcW w:w="1704" w:type="dxa"/>
          </w:tcPr>
          <w:p w14:paraId="64DA6BF8">
            <w:pPr>
              <w:rPr>
                <w:rFonts w:ascii="Times New Roman" w:hAnsi="Times New Roman" w:cs="Times New Roman"/>
              </w:rPr>
            </w:pPr>
            <w:r>
              <w:rPr>
                <w:rFonts w:ascii="Times New Roman" w:hAnsi="Times New Roman" w:cs="Times New Roman"/>
              </w:rPr>
              <w:t>Integer</w:t>
            </w:r>
          </w:p>
        </w:tc>
        <w:tc>
          <w:tcPr>
            <w:tcW w:w="1704" w:type="dxa"/>
          </w:tcPr>
          <w:p w14:paraId="2A6CED6D">
            <w:pPr>
              <w:rPr>
                <w:rFonts w:ascii="Times New Roman" w:hAnsi="Times New Roman" w:cs="Times New Roman"/>
              </w:rPr>
            </w:pPr>
            <w:r>
              <w:rPr>
                <w:rFonts w:ascii="Times New Roman" w:hAnsi="Times New Roman" w:cs="Times New Roman"/>
              </w:rPr>
              <w:t>Derived field, not present in raw data</w:t>
            </w:r>
          </w:p>
        </w:tc>
        <w:tc>
          <w:tcPr>
            <w:tcW w:w="1705" w:type="dxa"/>
          </w:tcPr>
          <w:p w14:paraId="2FDD2A64">
            <w:pPr>
              <w:rPr>
                <w:rFonts w:ascii="Times New Roman" w:hAnsi="Times New Roman" w:cs="Times New Roman"/>
              </w:rPr>
            </w:pPr>
            <w:r>
              <w:rPr>
                <w:rFonts w:ascii="Times New Roman" w:hAnsi="Times New Roman" w:cs="Times New Roman"/>
              </w:rPr>
              <w:t>Created from sale date</w:t>
            </w:r>
          </w:p>
        </w:tc>
        <w:tc>
          <w:tcPr>
            <w:tcW w:w="1705" w:type="dxa"/>
          </w:tcPr>
          <w:p w14:paraId="5779D100">
            <w:pPr>
              <w:pStyle w:val="8"/>
              <w:rPr>
                <w:rFonts w:eastAsia="Times New Roman"/>
                <w:sz w:val="20"/>
                <w:szCs w:val="20"/>
                <w:lang w:val="en-GB"/>
              </w:rPr>
            </w:pPr>
            <w:r>
              <w:rPr>
                <w:rStyle w:val="9"/>
                <w:sz w:val="20"/>
                <w:szCs w:val="20"/>
              </w:rPr>
              <w:t>Captures broad market timing effects</w:t>
            </w:r>
          </w:p>
          <w:p w14:paraId="52B01638">
            <w:pPr>
              <w:rPr>
                <w:rFonts w:ascii="Times New Roman" w:hAnsi="Times New Roman" w:cs="Times New Roman"/>
              </w:rPr>
            </w:pPr>
          </w:p>
        </w:tc>
      </w:tr>
      <w:tr w14:paraId="52BFDDEF">
        <w:tc>
          <w:tcPr>
            <w:tcW w:w="1704" w:type="dxa"/>
          </w:tcPr>
          <w:p w14:paraId="6FDD847A">
            <w:pPr>
              <w:rPr>
                <w:rFonts w:ascii="Times New Roman" w:hAnsi="Times New Roman" w:cs="Times New Roman"/>
                <w:b/>
                <w:bCs/>
              </w:rPr>
            </w:pPr>
            <w:r>
              <w:rPr>
                <w:rFonts w:ascii="Times New Roman" w:hAnsi="Times New Roman" w:cs="Times New Roman"/>
                <w:b/>
                <w:bCs/>
              </w:rPr>
              <w:t>quarter</w:t>
            </w:r>
          </w:p>
        </w:tc>
        <w:tc>
          <w:tcPr>
            <w:tcW w:w="1704" w:type="dxa"/>
          </w:tcPr>
          <w:p w14:paraId="2030272C">
            <w:pPr>
              <w:rPr>
                <w:rFonts w:ascii="Times New Roman" w:hAnsi="Times New Roman" w:cs="Times New Roman"/>
              </w:rPr>
            </w:pPr>
            <w:r>
              <w:rPr>
                <w:rFonts w:ascii="Times New Roman" w:hAnsi="Times New Roman" w:cs="Times New Roman"/>
              </w:rPr>
              <w:t>Categorical</w:t>
            </w:r>
          </w:p>
        </w:tc>
        <w:tc>
          <w:tcPr>
            <w:tcW w:w="1704" w:type="dxa"/>
          </w:tcPr>
          <w:p w14:paraId="725B7735">
            <w:pPr>
              <w:rPr>
                <w:rFonts w:ascii="Times New Roman" w:hAnsi="Times New Roman" w:cs="Times New Roman"/>
              </w:rPr>
            </w:pPr>
            <w:r>
              <w:rPr>
                <w:rFonts w:ascii="Times New Roman" w:hAnsi="Times New Roman" w:cs="Times New Roman"/>
              </w:rPr>
              <w:t>Derived field, not present in raw data</w:t>
            </w:r>
          </w:p>
        </w:tc>
        <w:tc>
          <w:tcPr>
            <w:tcW w:w="1705" w:type="dxa"/>
          </w:tcPr>
          <w:p w14:paraId="39F91D3F">
            <w:pPr>
              <w:rPr>
                <w:rFonts w:ascii="Times New Roman" w:hAnsi="Times New Roman" w:cs="Times New Roman"/>
              </w:rPr>
            </w:pPr>
            <w:r>
              <w:rPr>
                <w:rFonts w:ascii="Times New Roman" w:hAnsi="Times New Roman" w:cs="Times New Roman"/>
              </w:rPr>
              <w:t>Created from sale date</w:t>
            </w:r>
          </w:p>
        </w:tc>
        <w:tc>
          <w:tcPr>
            <w:tcW w:w="1705" w:type="dxa"/>
          </w:tcPr>
          <w:p w14:paraId="24E3D06E">
            <w:pPr>
              <w:rPr>
                <w:rFonts w:ascii="Times New Roman" w:hAnsi="Times New Roman" w:cs="Times New Roman"/>
              </w:rPr>
            </w:pPr>
            <w:r>
              <w:rPr>
                <w:rFonts w:ascii="Times New Roman" w:hAnsi="Times New Roman" w:cs="Times New Roman"/>
              </w:rPr>
              <w:t>Captures seasonal variation</w:t>
            </w:r>
          </w:p>
        </w:tc>
      </w:tr>
      <w:tr w14:paraId="6F45390B">
        <w:tc>
          <w:tcPr>
            <w:tcW w:w="1704" w:type="dxa"/>
          </w:tcPr>
          <w:p w14:paraId="25B1E8BA">
            <w:pPr>
              <w:rPr>
                <w:rFonts w:ascii="Times New Roman" w:hAnsi="Times New Roman" w:cs="Times New Roman"/>
                <w:b/>
                <w:bCs/>
              </w:rPr>
            </w:pPr>
            <w:r>
              <w:rPr>
                <w:rFonts w:ascii="Times New Roman" w:hAnsi="Times New Roman" w:cs="Times New Roman"/>
                <w:b/>
                <w:bCs/>
              </w:rPr>
              <w:t>year_norm</w:t>
            </w:r>
          </w:p>
        </w:tc>
        <w:tc>
          <w:tcPr>
            <w:tcW w:w="1704" w:type="dxa"/>
          </w:tcPr>
          <w:p w14:paraId="3539E550">
            <w:pPr>
              <w:rPr>
                <w:rFonts w:ascii="Times New Roman" w:hAnsi="Times New Roman" w:cs="Times New Roman"/>
              </w:rPr>
            </w:pPr>
            <w:r>
              <w:rPr>
                <w:rFonts w:ascii="Times New Roman" w:hAnsi="Times New Roman" w:cs="Times New Roman"/>
              </w:rPr>
              <w:t>Integer</w:t>
            </w:r>
          </w:p>
        </w:tc>
        <w:tc>
          <w:tcPr>
            <w:tcW w:w="1704" w:type="dxa"/>
          </w:tcPr>
          <w:p w14:paraId="091EFB51">
            <w:pPr>
              <w:rPr>
                <w:rFonts w:ascii="Times New Roman" w:hAnsi="Times New Roman" w:cs="Times New Roman"/>
              </w:rPr>
            </w:pPr>
            <w:r>
              <w:rPr>
                <w:rFonts w:ascii="Times New Roman" w:hAnsi="Times New Roman" w:cs="Times New Roman"/>
              </w:rPr>
              <w:t>Derived field, not present in raw data</w:t>
            </w:r>
          </w:p>
        </w:tc>
        <w:tc>
          <w:tcPr>
            <w:tcW w:w="1705" w:type="dxa"/>
          </w:tcPr>
          <w:p w14:paraId="049C1052">
            <w:pPr>
              <w:rPr>
                <w:rFonts w:ascii="Times New Roman" w:hAnsi="Times New Roman" w:cs="Times New Roman"/>
              </w:rPr>
            </w:pPr>
            <w:r>
              <w:rPr>
                <w:rFonts w:ascii="Times New Roman" w:hAnsi="Times New Roman" w:cs="Times New Roman"/>
              </w:rPr>
              <w:t>Created as normalised year using training-set minimum year</w:t>
            </w:r>
          </w:p>
        </w:tc>
        <w:tc>
          <w:tcPr>
            <w:tcW w:w="1705" w:type="dxa"/>
          </w:tcPr>
          <w:p w14:paraId="722ACE9C">
            <w:pPr>
              <w:rPr>
                <w:rFonts w:ascii="Times New Roman" w:hAnsi="Times New Roman" w:cs="Times New Roman"/>
              </w:rPr>
            </w:pPr>
            <w:r>
              <w:rPr>
                <w:rFonts w:ascii="Times New Roman" w:hAnsi="Times New Roman" w:cs="Times New Roman"/>
              </w:rPr>
              <w:t>Creates a compact time-trend feature for modelling</w:t>
            </w:r>
          </w:p>
        </w:tc>
      </w:tr>
      <w:tr w14:paraId="4085FFF8">
        <w:tc>
          <w:tcPr>
            <w:tcW w:w="1704" w:type="dxa"/>
          </w:tcPr>
          <w:p w14:paraId="4DAA5D4C">
            <w:pPr>
              <w:rPr>
                <w:rFonts w:ascii="Times New Roman" w:hAnsi="Times New Roman" w:cs="Times New Roman"/>
                <w:b/>
                <w:bCs/>
              </w:rPr>
            </w:pPr>
            <w:r>
              <w:rPr>
                <w:rFonts w:ascii="Times New Roman" w:hAnsi="Times New Roman" w:cs="Times New Roman"/>
                <w:b/>
                <w:bCs/>
              </w:rPr>
              <w:t>is_new_property</w:t>
            </w:r>
          </w:p>
        </w:tc>
        <w:tc>
          <w:tcPr>
            <w:tcW w:w="1704" w:type="dxa"/>
          </w:tcPr>
          <w:p w14:paraId="1BCA01A8">
            <w:pPr>
              <w:rPr>
                <w:rFonts w:ascii="Times New Roman" w:hAnsi="Times New Roman" w:cs="Times New Roman"/>
              </w:rPr>
            </w:pPr>
            <w:r>
              <w:rPr>
                <w:rFonts w:ascii="Times New Roman" w:hAnsi="Times New Roman" w:cs="Times New Roman"/>
              </w:rPr>
              <w:t>Binary numeric</w:t>
            </w:r>
          </w:p>
        </w:tc>
        <w:tc>
          <w:tcPr>
            <w:tcW w:w="1704" w:type="dxa"/>
          </w:tcPr>
          <w:p w14:paraId="2FAE43BA">
            <w:pPr>
              <w:rPr>
                <w:rFonts w:ascii="Times New Roman" w:hAnsi="Times New Roman" w:cs="Times New Roman"/>
              </w:rPr>
            </w:pPr>
            <w:r>
              <w:rPr>
                <w:rFonts w:ascii="Times New Roman" w:hAnsi="Times New Roman" w:cs="Times New Roman"/>
              </w:rPr>
              <w:t>Derived field, not present in raw data</w:t>
            </w:r>
          </w:p>
        </w:tc>
        <w:tc>
          <w:tcPr>
            <w:tcW w:w="1705" w:type="dxa"/>
          </w:tcPr>
          <w:p w14:paraId="4B690B2A">
            <w:pPr>
              <w:rPr>
                <w:rFonts w:ascii="Times New Roman" w:hAnsi="Times New Roman" w:cs="Times New Roman"/>
              </w:rPr>
            </w:pPr>
            <w:r>
              <w:rPr>
                <w:rFonts w:ascii="Times New Roman" w:hAnsi="Times New Roman" w:cs="Times New Roman"/>
              </w:rPr>
              <w:t xml:space="preserve">Created from cleaned </w:t>
            </w:r>
            <w:r>
              <w:rPr>
                <w:rStyle w:val="7"/>
                <w:rFonts w:ascii="Times New Roman" w:hAnsi="Times New Roman" w:cs="Times New Roman"/>
              </w:rPr>
              <w:t>Description of Property</w:t>
            </w:r>
          </w:p>
        </w:tc>
        <w:tc>
          <w:tcPr>
            <w:tcW w:w="1705" w:type="dxa"/>
          </w:tcPr>
          <w:p w14:paraId="17DE26DF">
            <w:pPr>
              <w:rPr>
                <w:rFonts w:ascii="Times New Roman" w:hAnsi="Times New Roman" w:cs="Times New Roman"/>
              </w:rPr>
            </w:pPr>
            <w:r>
              <w:rPr>
                <w:rFonts w:ascii="Times New Roman" w:hAnsi="Times New Roman" w:cs="Times New Roman"/>
              </w:rPr>
              <w:t>Provides a concise indicator of new versus second-hand property</w:t>
            </w:r>
          </w:p>
        </w:tc>
      </w:tr>
    </w:tbl>
    <w:p w14:paraId="161CDE12">
      <w:pPr>
        <w:rPr>
          <w:rFonts w:ascii="Times New Roman" w:hAnsi="Times New Roman" w:cs="Times New Roman"/>
        </w:rPr>
      </w:pPr>
    </w:p>
    <w:p w14:paraId="2A5AE623">
      <w:pPr>
        <w:rPr>
          <w:rFonts w:ascii="Times New Roman Bold" w:hAnsi="Times New Roman Bold" w:cs="Times New Roman Bold"/>
          <w:b/>
          <w:bCs/>
        </w:rPr>
      </w:pPr>
    </w:p>
    <w:p w14:paraId="2FC22BB9">
      <w:pPr>
        <w:numPr>
          <w:ilvl w:val="0"/>
          <w:numId w:val="1"/>
        </w:numPr>
        <w:rPr>
          <w:rFonts w:ascii="Times New Roman" w:hAnsi="Times New Roman" w:cs="Times New Roman"/>
          <w:b/>
          <w:bCs/>
          <w:sz w:val="28"/>
          <w:szCs w:val="28"/>
        </w:rPr>
      </w:pPr>
      <w:r>
        <w:rPr>
          <w:rFonts w:ascii="Times New Roman" w:hAnsi="Times New Roman" w:cs="Times New Roman"/>
          <w:b/>
          <w:bCs/>
          <w:sz w:val="28"/>
          <w:szCs w:val="28"/>
        </w:rPr>
        <w:t>Justification of Main Decisions</w:t>
      </w:r>
    </w:p>
    <w:p w14:paraId="144BFA4F">
      <w:pPr>
        <w:pStyle w:val="3"/>
        <w:rPr>
          <w:rFonts w:hint="default" w:ascii="Times New Roman" w:hAnsi="Times New Roman" w:eastAsia="Times New Roman"/>
          <w:sz w:val="24"/>
          <w:szCs w:val="24"/>
          <w:lang w:val="en-GB"/>
        </w:rPr>
      </w:pPr>
      <w:r>
        <w:rPr>
          <w:rFonts w:hint="default" w:ascii="Times New Roman" w:hAnsi="Times New Roman"/>
          <w:sz w:val="24"/>
          <w:szCs w:val="24"/>
        </w:rPr>
        <w:t xml:space="preserve">Removal of </w:t>
      </w:r>
      <w:r>
        <w:rPr>
          <w:rStyle w:val="7"/>
          <w:rFonts w:hint="default" w:ascii="Times New Roman" w:hAnsi="Times New Roman" w:cs="Times New Roman"/>
          <w:sz w:val="24"/>
          <w:szCs w:val="24"/>
        </w:rPr>
        <w:t>Eircode</w:t>
      </w:r>
    </w:p>
    <w:p w14:paraId="41CE66E4">
      <w:pPr>
        <w:pStyle w:val="8"/>
        <w:rPr>
          <w:sz w:val="20"/>
          <w:szCs w:val="20"/>
        </w:rPr>
      </w:pPr>
      <w:r>
        <w:rPr>
          <w:sz w:val="20"/>
          <w:szCs w:val="20"/>
        </w:rPr>
        <w:t xml:space="preserve">The original </w:t>
      </w:r>
      <w:r>
        <w:rPr>
          <w:rStyle w:val="7"/>
          <w:rFonts w:ascii="Times New Roman" w:hAnsi="Times New Roman" w:cs="Times New Roman"/>
        </w:rPr>
        <w:t>Eircode</w:t>
      </w:r>
      <w:r>
        <w:rPr>
          <w:sz w:val="20"/>
          <w:szCs w:val="20"/>
        </w:rPr>
        <w:t xml:space="preserve"> variable was not retained in the clean-final dataset because its missingness was too high for it to function as a robust direct explanatory variable. Retaining it in the cleaned output would have introduced either extensive missingness or an artificial categorical level with weak analytical meaning. Since the project later incorporates externally geocoded latitude and longitude values, removing </w:t>
      </w:r>
      <w:r>
        <w:rPr>
          <w:rStyle w:val="7"/>
          <w:rFonts w:ascii="Times New Roman" w:hAnsi="Times New Roman" w:cs="Times New Roman"/>
        </w:rPr>
        <w:t>Eircode</w:t>
      </w:r>
      <w:r>
        <w:rPr>
          <w:sz w:val="20"/>
          <w:szCs w:val="20"/>
        </w:rPr>
        <w:t xml:space="preserve"> at the clean-final stage was the more defensible choice.</w:t>
      </w:r>
    </w:p>
    <w:p w14:paraId="264E0987">
      <w:pPr>
        <w:pStyle w:val="3"/>
        <w:rPr>
          <w:rFonts w:hint="default" w:ascii="Times New Roman" w:hAnsi="Times New Roman"/>
          <w:sz w:val="24"/>
          <w:szCs w:val="24"/>
        </w:rPr>
      </w:pPr>
      <w:r>
        <w:rPr>
          <w:rFonts w:hint="default" w:ascii="Times New Roman" w:hAnsi="Times New Roman"/>
          <w:sz w:val="24"/>
          <w:szCs w:val="24"/>
        </w:rPr>
        <w:t xml:space="preserve">Removal of </w:t>
      </w:r>
      <w:r>
        <w:rPr>
          <w:rStyle w:val="7"/>
          <w:rFonts w:hint="default" w:ascii="Times New Roman" w:hAnsi="Times New Roman" w:cs="Times New Roman"/>
          <w:sz w:val="24"/>
          <w:szCs w:val="24"/>
        </w:rPr>
        <w:t>Property Size Description</w:t>
      </w:r>
    </w:p>
    <w:p w14:paraId="1AD04B93">
      <w:pPr>
        <w:pStyle w:val="8"/>
        <w:rPr>
          <w:sz w:val="20"/>
          <w:szCs w:val="20"/>
        </w:rPr>
      </w:pPr>
      <w:r>
        <w:rPr>
          <w:rStyle w:val="7"/>
          <w:rFonts w:ascii="Times New Roman" w:hAnsi="Times New Roman" w:cs="Times New Roman"/>
        </w:rPr>
        <w:t>Property Size Description</w:t>
      </w:r>
      <w:r>
        <w:rPr>
          <w:sz w:val="20"/>
          <w:szCs w:val="20"/>
        </w:rPr>
        <w:t xml:space="preserve"> was also removed because of its very high proportion of missing values. In the current project workflow, retaining this feature would have added complexity without providing a sufficiently reliable contribution to the clean-final dataset.</w:t>
      </w:r>
    </w:p>
    <w:p w14:paraId="43EFFD7A">
      <w:pPr>
        <w:pStyle w:val="3"/>
        <w:rPr>
          <w:rFonts w:hint="default" w:ascii="Times New Roman" w:hAnsi="Times New Roman"/>
          <w:sz w:val="24"/>
          <w:szCs w:val="24"/>
        </w:rPr>
      </w:pPr>
      <w:r>
        <w:rPr>
          <w:rFonts w:hint="default" w:ascii="Times New Roman" w:hAnsi="Times New Roman"/>
          <w:sz w:val="24"/>
          <w:szCs w:val="24"/>
        </w:rPr>
        <w:t>Numeric conversion of price</w:t>
      </w:r>
    </w:p>
    <w:p w14:paraId="68DBF833">
      <w:pPr>
        <w:pStyle w:val="8"/>
        <w:rPr>
          <w:sz w:val="20"/>
          <w:szCs w:val="20"/>
        </w:rPr>
      </w:pPr>
      <w:r>
        <w:rPr>
          <w:sz w:val="20"/>
          <w:szCs w:val="20"/>
        </w:rPr>
        <w:t xml:space="preserve">The target variable must be numeric to support statistical description, outlier treatment, and modelling. Converting </w:t>
      </w:r>
      <w:r>
        <w:rPr>
          <w:rStyle w:val="7"/>
          <w:rFonts w:ascii="Times New Roman" w:hAnsi="Times New Roman" w:cs="Times New Roman"/>
          <w:b/>
          <w:bCs/>
        </w:rPr>
        <w:t>Price (€)</w:t>
      </w:r>
      <w:r>
        <w:rPr>
          <w:sz w:val="20"/>
          <w:szCs w:val="20"/>
        </w:rPr>
        <w:t xml:space="preserve"> into the numeric field </w:t>
      </w:r>
      <w:r>
        <w:rPr>
          <w:rStyle w:val="7"/>
          <w:rFonts w:ascii="Times New Roman" w:hAnsi="Times New Roman" w:cs="Times New Roman"/>
          <w:b/>
          <w:bCs/>
        </w:rPr>
        <w:t>Price(1,000 €)</w:t>
      </w:r>
      <w:r>
        <w:rPr>
          <w:sz w:val="20"/>
          <w:szCs w:val="20"/>
        </w:rPr>
        <w:t xml:space="preserve"> was therefore essential. Expressing it in thousand-euro units also improves readability in summary statistics and plots.</w:t>
      </w:r>
    </w:p>
    <w:p w14:paraId="59CDB649">
      <w:pPr>
        <w:pStyle w:val="3"/>
        <w:rPr>
          <w:rFonts w:hint="default" w:ascii="Times New Roman" w:hAnsi="Times New Roman"/>
          <w:sz w:val="24"/>
          <w:szCs w:val="24"/>
        </w:rPr>
      </w:pPr>
      <w:r>
        <w:rPr>
          <w:rFonts w:hint="default" w:ascii="Times New Roman" w:hAnsi="Times New Roman"/>
          <w:sz w:val="24"/>
          <w:szCs w:val="24"/>
        </w:rPr>
        <w:t>Duplicate removal</w:t>
      </w:r>
    </w:p>
    <w:p w14:paraId="43D6EEBA">
      <w:pPr>
        <w:pStyle w:val="8"/>
        <w:rPr>
          <w:sz w:val="20"/>
          <w:szCs w:val="20"/>
        </w:rPr>
      </w:pPr>
      <w:r>
        <w:rPr>
          <w:sz w:val="20"/>
          <w:szCs w:val="20"/>
        </w:rPr>
        <w:t>Removing duplicated rows is a basic but critical data quality step. If duplicates are left in place, they bias descriptive summaries and can also distort predictive models by effectively counting the same transaction more than once.</w:t>
      </w:r>
    </w:p>
    <w:p w14:paraId="2791381A">
      <w:pPr>
        <w:pStyle w:val="3"/>
        <w:rPr>
          <w:rFonts w:hint="default" w:ascii="Times New Roman" w:hAnsi="Times New Roman"/>
          <w:sz w:val="24"/>
          <w:szCs w:val="24"/>
        </w:rPr>
      </w:pPr>
      <w:r>
        <w:rPr>
          <w:rFonts w:hint="default" w:ascii="Times New Roman" w:hAnsi="Times New Roman"/>
          <w:sz w:val="24"/>
          <w:szCs w:val="24"/>
        </w:rPr>
        <w:t>Temporal feature extraction</w:t>
      </w:r>
    </w:p>
    <w:p w14:paraId="092211D1">
      <w:pPr>
        <w:pStyle w:val="8"/>
        <w:rPr>
          <w:sz w:val="20"/>
          <w:szCs w:val="20"/>
        </w:rPr>
      </w:pPr>
      <w:r>
        <w:rPr>
          <w:sz w:val="20"/>
          <w:szCs w:val="20"/>
        </w:rPr>
        <w:t xml:space="preserve">Rather than retaining the raw date string, the project extracts </w:t>
      </w:r>
      <w:r>
        <w:rPr>
          <w:rStyle w:val="7"/>
          <w:rFonts w:ascii="Times New Roman" w:hAnsi="Times New Roman" w:cs="Times New Roman"/>
        </w:rPr>
        <w:t>year</w:t>
      </w:r>
      <w:r>
        <w:rPr>
          <w:sz w:val="20"/>
          <w:szCs w:val="20"/>
        </w:rPr>
        <w:t xml:space="preserve">, </w:t>
      </w:r>
      <w:r>
        <w:rPr>
          <w:rStyle w:val="7"/>
          <w:rFonts w:ascii="Times New Roman" w:hAnsi="Times New Roman" w:cs="Times New Roman"/>
        </w:rPr>
        <w:t>quarter</w:t>
      </w:r>
      <w:r>
        <w:rPr>
          <w:sz w:val="20"/>
          <w:szCs w:val="20"/>
        </w:rPr>
        <w:t xml:space="preserve">, and </w:t>
      </w:r>
      <w:r>
        <w:rPr>
          <w:rStyle w:val="7"/>
          <w:rFonts w:ascii="SimSun" w:hAnsi="SimSun" w:cs="Times New Roman"/>
        </w:rPr>
        <w:t>year_norm</w:t>
      </w:r>
      <w:r>
        <w:rPr>
          <w:sz w:val="20"/>
          <w:szCs w:val="20"/>
        </w:rPr>
        <w:t>. This is preferable because it preserves the informative part of the date while reducing noise and making the information directly usable for plots and regression models.</w:t>
      </w:r>
    </w:p>
    <w:p w14:paraId="7B1246A1">
      <w:pPr>
        <w:pStyle w:val="3"/>
        <w:rPr>
          <w:rFonts w:hint="default" w:ascii="Times New Roman" w:hAnsi="Times New Roman"/>
          <w:sz w:val="24"/>
          <w:szCs w:val="24"/>
        </w:rPr>
      </w:pPr>
      <w:r>
        <w:rPr>
          <w:rFonts w:hint="default" w:ascii="Times New Roman" w:hAnsi="Times New Roman"/>
          <w:sz w:val="24"/>
          <w:szCs w:val="24"/>
        </w:rPr>
        <w:t>Binary encoding of transaction indicators</w:t>
      </w:r>
    </w:p>
    <w:p w14:paraId="072C882D">
      <w:pPr>
        <w:pStyle w:val="8"/>
        <w:rPr>
          <w:sz w:val="20"/>
          <w:szCs w:val="20"/>
        </w:rPr>
      </w:pPr>
      <w:r>
        <w:rPr>
          <w:sz w:val="20"/>
          <w:szCs w:val="20"/>
        </w:rPr>
        <w:t xml:space="preserve">The categorical </w:t>
      </w:r>
      <w:r>
        <w:rPr>
          <w:b/>
          <w:bCs/>
          <w:sz w:val="20"/>
          <w:szCs w:val="20"/>
        </w:rPr>
        <w:t>Yes/No</w:t>
      </w:r>
      <w:r>
        <w:rPr>
          <w:sz w:val="20"/>
          <w:szCs w:val="20"/>
        </w:rPr>
        <w:t xml:space="preserve"> variables were converted into binary numeric form because this improves consistency and simplifies later modelling. It also avoids repeatedly handling text encodings during downstream analysis.</w:t>
      </w:r>
    </w:p>
    <w:p w14:paraId="5270D939">
      <w:pPr>
        <w:pStyle w:val="2"/>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Output of the Cleaning Stage</w:t>
      </w:r>
    </w:p>
    <w:p w14:paraId="4E4A465C">
      <w:pPr>
        <w:pStyle w:val="8"/>
        <w:rPr>
          <w:sz w:val="20"/>
          <w:szCs w:val="20"/>
        </w:rPr>
      </w:pPr>
      <w:r>
        <w:rPr>
          <w:sz w:val="20"/>
          <w:szCs w:val="20"/>
        </w:rPr>
        <w:t xml:space="preserve">After the cleaning plan was executed, the resulting dataset was exported as </w:t>
      </w:r>
      <w:r>
        <w:rPr>
          <w:rStyle w:val="7"/>
          <w:rFonts w:ascii="SimSun" w:hAnsi="SimSun" w:cs="Times New Roman"/>
          <w:i/>
          <w:iCs/>
        </w:rPr>
        <w:t>ppr-group-24209891-train-clean-final.csv</w:t>
      </w:r>
      <w:r>
        <w:rPr>
          <w:rFonts w:ascii="SimSun" w:hAnsi="SimSun"/>
          <w:i/>
          <w:iCs/>
          <w:sz w:val="20"/>
          <w:szCs w:val="20"/>
        </w:rPr>
        <w:t xml:space="preserve">. </w:t>
      </w:r>
      <w:r>
        <w:rPr>
          <w:sz w:val="20"/>
          <w:szCs w:val="20"/>
        </w:rPr>
        <w:t>This dataset contains the retained cleaned features and no missing values in those retained modelling variables. It serves as the formal output of the data quality stage and as the basis for subsequent feature engineering and model development.</w:t>
      </w:r>
    </w:p>
    <w:p w14:paraId="3B2D2035">
      <w:pPr>
        <w:rPr>
          <w:rFonts w:ascii="Times New Roman Bold" w:hAnsi="Times New Roman Bold" w:cs="Times New Roman Bold"/>
          <w:b/>
          <w:bCs/>
        </w:rPr>
      </w:pPr>
    </w:p>
    <w:p w14:paraId="34984236">
      <w:pPr>
        <w:numPr>
          <w:ilvl w:val="0"/>
          <w:numId w:val="1"/>
        </w:numPr>
        <w:rPr>
          <w:rFonts w:ascii="Times New Roman Bold" w:hAnsi="Times New Roman Bold" w:cs="Times New Roman Bold"/>
          <w:b/>
          <w:bCs/>
          <w:sz w:val="28"/>
          <w:szCs w:val="28"/>
        </w:rPr>
      </w:pPr>
      <w:r>
        <w:rPr>
          <w:rFonts w:ascii="Times New Roman Bold" w:hAnsi="Times New Roman Bold" w:cs="Times New Roman Bold"/>
          <w:b/>
          <w:bCs/>
          <w:sz w:val="28"/>
          <w:szCs w:val="28"/>
        </w:rPr>
        <w:t>Conclusion</w:t>
      </w:r>
    </w:p>
    <w:p w14:paraId="0BD4C248">
      <w:pPr>
        <w:rPr>
          <w:rFonts w:ascii="Times New Roman Bold" w:hAnsi="Times New Roman Bold" w:cs="Times New Roman Bold"/>
          <w:b/>
          <w:bCs/>
        </w:rPr>
      </w:pPr>
    </w:p>
    <w:p w14:paraId="348F0A44">
      <w:pPr>
        <w:spacing w:before="100" w:beforeAutospacing="1" w:after="100" w:afterAutospacing="1"/>
        <w:rPr>
          <w:rFonts w:ascii="Times New Roman" w:hAnsi="Times New Roman" w:eastAsia="Times New Roman" w:cs="Times New Roman"/>
          <w:lang w:val="en-GB"/>
        </w:rPr>
      </w:pPr>
      <w:r>
        <w:rPr>
          <w:rFonts w:ascii="Times New Roman" w:hAnsi="Times New Roman" w:eastAsia="Times New Roman" w:cs="Times New Roman"/>
          <w:lang w:val="en-GB"/>
        </w:rPr>
        <w:t>This Data Quality Plan documents a cleaning strategy that is both practical and analytically justified. Rather than mechanically filling every incomplete field, the workflow distinguishes between variables that are worth retaining and variables that are too incomplete to be reliable in the clean-final dataset. This makes the cleaned data easier to defend academically and more suitable for later modelling.</w:t>
      </w:r>
    </w:p>
    <w:p w14:paraId="6E89AFC3">
      <w:pPr>
        <w:spacing w:before="100" w:beforeAutospacing="1" w:after="100" w:afterAutospacing="1"/>
        <w:rPr>
          <w:rFonts w:ascii="Times New Roman" w:hAnsi="Times New Roman" w:cs="Times New Roman"/>
        </w:rPr>
      </w:pPr>
      <w:r>
        <w:rPr>
          <w:rFonts w:ascii="Times New Roman" w:hAnsi="Times New Roman" w:eastAsia="Times New Roman" w:cs="Times New Roman"/>
          <w:lang w:val="en-GB"/>
        </w:rPr>
        <w:t>The final clean dataset is therefore not simply a version with missing values suppressed, but a deliberately structured and justified representation of the raw training data, prepared for the next stages of the project.</w:t>
      </w:r>
    </w:p>
    <w:p w14:paraId="05110FA0">
      <w:pPr>
        <w:rPr>
          <w:rFonts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SimSun">
    <w:altName w:val="汉仪书宋二KW"/>
    <w:panose1 w:val="02010600030101010101"/>
    <w:charset w:val="86"/>
    <w:family w:val="roman"/>
    <w:pitch w:val="variable"/>
    <w:sig w:usb0="00000003" w:usb1="288F0000"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76E7EA"/>
    <w:multiLevelType w:val="multilevel"/>
    <w:tmpl w:val="9F76E7EA"/>
    <w:lvl w:ilvl="0" w:tentative="0">
      <w:start w:val="1"/>
      <w:numFmt w:val="decimal"/>
      <w:lvlText w:val="%1."/>
      <w:lvlJc w:val="left"/>
      <w:pPr>
        <w:tabs>
          <w:tab w:val="left" w:pos="312"/>
        </w:tabs>
      </w:p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
    <w:nsid w:val="343D4C0E"/>
    <w:multiLevelType w:val="multilevel"/>
    <w:tmpl w:val="343D4C0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9B9004"/>
    <w:rsid w:val="00096789"/>
    <w:rsid w:val="00217746"/>
    <w:rsid w:val="00556BB8"/>
    <w:rsid w:val="00596672"/>
    <w:rsid w:val="006539F5"/>
    <w:rsid w:val="006F6AA2"/>
    <w:rsid w:val="00867891"/>
    <w:rsid w:val="5E9B9004"/>
    <w:rsid w:val="6E993F4D"/>
    <w:rsid w:val="7DDEA494"/>
    <w:rsid w:val="D7FE64E3"/>
    <w:rsid w:val="FD9C51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link w:val="11"/>
    <w:semiHidden/>
    <w:unhideWhenUsed/>
    <w:qFormat/>
    <w:uiPriority w:val="0"/>
    <w:pPr>
      <w:keepNext/>
      <w:keepLines/>
      <w:spacing w:before="40"/>
      <w:outlineLvl w:val="1"/>
    </w:pPr>
    <w:rPr>
      <w:rFonts w:asciiTheme="majorHAnsi" w:hAnsiTheme="majorHAnsi" w:eastAsiaTheme="majorEastAsia" w:cstheme="majorBidi"/>
      <w:color w:val="2E54A1" w:themeColor="accent1" w:themeShade="BF"/>
      <w:sz w:val="26"/>
      <w:szCs w:val="26"/>
    </w:rPr>
  </w:style>
  <w:style w:type="paragraph" w:styleId="3">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4">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HTML Code"/>
    <w:basedOn w:val="5"/>
    <w:uiPriority w:val="99"/>
    <w:rPr>
      <w:rFonts w:ascii="Courier New" w:hAnsi="Courier New" w:cs="Courier New"/>
      <w:sz w:val="20"/>
      <w:szCs w:val="20"/>
    </w:rPr>
  </w:style>
  <w:style w:type="paragraph" w:styleId="8">
    <w:name w:val="Normal (Web)"/>
    <w:uiPriority w:val="99"/>
    <w:pPr>
      <w:spacing w:beforeAutospacing="1" w:afterAutospacing="1"/>
    </w:pPr>
    <w:rPr>
      <w:rFonts w:ascii="Times New Roman" w:hAnsi="Times New Roman" w:eastAsia="SimSun" w:cs="Times New Roman"/>
      <w:sz w:val="24"/>
      <w:szCs w:val="24"/>
      <w:lang w:val="en-US" w:eastAsia="zh-CN" w:bidi="ar-SA"/>
    </w:rPr>
  </w:style>
  <w:style w:type="character" w:styleId="9">
    <w:name w:val="Strong"/>
    <w:basedOn w:val="5"/>
    <w:qFormat/>
    <w:uiPriority w:val="22"/>
    <w:rPr>
      <w:b/>
      <w:bCs/>
    </w:rPr>
  </w:style>
  <w:style w:type="table" w:styleId="10">
    <w:name w:val="Table Grid"/>
    <w:basedOn w:val="6"/>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ing 2 Char"/>
    <w:basedOn w:val="5"/>
    <w:link w:val="2"/>
    <w:semiHidden/>
    <w:uiPriority w:val="0"/>
    <w:rPr>
      <w:rFonts w:asciiTheme="majorHAnsi" w:hAnsiTheme="majorHAnsi" w:eastAsiaTheme="majorEastAsia" w:cstheme="majorBidi"/>
      <w:color w:val="2E54A1" w:themeColor="accent1" w:themeShade="BF"/>
      <w:sz w:val="26"/>
      <w:szCs w:val="26"/>
      <w:lang w:val="en-US"/>
    </w:rPr>
  </w:style>
  <w:style w:type="table" w:customStyle="1" w:styleId="12">
    <w:name w:val="Grid Table Light"/>
    <w:basedOn w:val="6"/>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13">
    <w:name w:val="Plain Table 1"/>
    <w:basedOn w:val="6"/>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4">
    <w:name w:val="Plain Table 2"/>
    <w:basedOn w:val="6"/>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15">
    <w:name w:val="Plain Table 3"/>
    <w:basedOn w:val="6"/>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16">
    <w:name w:val="Plain Table 4"/>
    <w:basedOn w:val="6"/>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7">
    <w:name w:val="Plain Table 5"/>
    <w:basedOn w:val="6"/>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8">
    <w:name w:val="Grid Table 1 Light"/>
    <w:basedOn w:val="6"/>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19">
    <w:name w:val="Grid Table 1 Light Accent 1"/>
    <w:basedOn w:val="6"/>
    <w:uiPriority w:val="46"/>
    <w:tblPr>
      <w:tblBorders>
        <w:top w:val="single" w:color="B5C7EA" w:themeColor="accent1" w:themeTint="66" w:sz="4" w:space="0"/>
        <w:left w:val="single" w:color="B5C7EA" w:themeColor="accent1" w:themeTint="66" w:sz="4" w:space="0"/>
        <w:bottom w:val="single" w:color="B5C7EA" w:themeColor="accent1" w:themeTint="66" w:sz="4" w:space="0"/>
        <w:right w:val="single" w:color="B5C7EA" w:themeColor="accent1" w:themeTint="66" w:sz="4" w:space="0"/>
        <w:insideH w:val="single" w:color="B5C7EA" w:themeColor="accent1" w:themeTint="66" w:sz="4" w:space="0"/>
        <w:insideV w:val="single" w:color="B5C7EA" w:themeColor="accent1" w:themeTint="66" w:sz="4" w:space="0"/>
      </w:tblBorders>
    </w:tblPr>
    <w:tblStylePr w:type="firstRow">
      <w:rPr>
        <w:b/>
        <w:bCs/>
      </w:rPr>
      <w:tcPr>
        <w:tcBorders>
          <w:bottom w:val="single" w:color="91ABDF" w:themeColor="accent1" w:themeTint="99" w:sz="12" w:space="0"/>
        </w:tcBorders>
      </w:tcPr>
    </w:tblStylePr>
    <w:tblStylePr w:type="lastRow">
      <w:rPr>
        <w:b/>
        <w:bCs/>
      </w:rPr>
      <w:tcPr>
        <w:tcBorders>
          <w:top w:val="double" w:color="91ABDF" w:themeColor="accent1" w:themeTint="99" w:sz="2" w:space="0"/>
        </w:tcBorders>
      </w:tcPr>
    </w:tblStylePr>
    <w:tblStylePr w:type="firstCol">
      <w:rPr>
        <w:b/>
        <w:bCs/>
      </w:rPr>
    </w:tblStylePr>
    <w:tblStylePr w:type="lastCol">
      <w:rPr>
        <w:b/>
        <w:bCs/>
      </w:rPr>
    </w:tblStylePr>
  </w:style>
  <w:style w:type="table" w:customStyle="1" w:styleId="20">
    <w:name w:val="Grid Table 1 Light Accent 3"/>
    <w:basedOn w:val="6"/>
    <w:uiPriority w:val="46"/>
    <w:tblPr>
      <w:tblBorders>
        <w:top w:val="single" w:color="FEE595" w:themeColor="accent3" w:themeTint="66" w:sz="4" w:space="0"/>
        <w:left w:val="single" w:color="FEE595" w:themeColor="accent3" w:themeTint="66" w:sz="4" w:space="0"/>
        <w:bottom w:val="single" w:color="FEE595" w:themeColor="accent3" w:themeTint="66" w:sz="4" w:space="0"/>
        <w:right w:val="single" w:color="FEE595" w:themeColor="accent3" w:themeTint="66" w:sz="4" w:space="0"/>
        <w:insideH w:val="single" w:color="FEE595" w:themeColor="accent3" w:themeTint="66" w:sz="4" w:space="0"/>
        <w:insideV w:val="single" w:color="FEE595" w:themeColor="accent3" w:themeTint="66" w:sz="4" w:space="0"/>
      </w:tblBorders>
    </w:tblPr>
    <w:tblStylePr w:type="firstRow">
      <w:rPr>
        <w:b/>
        <w:bCs/>
      </w:rPr>
      <w:tcPr>
        <w:tcBorders>
          <w:bottom w:val="single" w:color="FDD960" w:themeColor="accent3" w:themeTint="99" w:sz="12" w:space="0"/>
        </w:tcBorders>
      </w:tcPr>
    </w:tblStylePr>
    <w:tblStylePr w:type="lastRow">
      <w:rPr>
        <w:b/>
        <w:bCs/>
      </w:rPr>
      <w:tcPr>
        <w:tcBorders>
          <w:top w:val="double" w:color="FDD960" w:themeColor="accent3" w:themeTint="99" w:sz="2" w:space="0"/>
        </w:tcBorders>
      </w:tcPr>
    </w:tblStylePr>
    <w:tblStylePr w:type="firstCol">
      <w:rPr>
        <w:b/>
        <w:bCs/>
      </w:rPr>
    </w:tblStylePr>
    <w:tblStylePr w:type="lastCol">
      <w:rPr>
        <w:b/>
        <w:bCs/>
      </w:rPr>
    </w:tblStylePr>
  </w:style>
  <w:style w:type="table" w:customStyle="1" w:styleId="21">
    <w:name w:val="Grid Table 1 Light Accent 4"/>
    <w:basedOn w:val="6"/>
    <w:uiPriority w:val="46"/>
    <w:tblPr>
      <w:tblBorders>
        <w:top w:val="single" w:color="C7E4B3" w:themeColor="accent4" w:themeTint="66" w:sz="4" w:space="0"/>
        <w:left w:val="single" w:color="C7E4B3" w:themeColor="accent4" w:themeTint="66" w:sz="4" w:space="0"/>
        <w:bottom w:val="single" w:color="C7E4B3" w:themeColor="accent4" w:themeTint="66" w:sz="4" w:space="0"/>
        <w:right w:val="single" w:color="C7E4B3" w:themeColor="accent4" w:themeTint="66" w:sz="4" w:space="0"/>
        <w:insideH w:val="single" w:color="C7E4B3" w:themeColor="accent4" w:themeTint="66" w:sz="4" w:space="0"/>
        <w:insideV w:val="single" w:color="C7E4B3" w:themeColor="accent4" w:themeTint="66" w:sz="4" w:space="0"/>
      </w:tblBorders>
    </w:tblPr>
    <w:tblStylePr w:type="firstRow">
      <w:rPr>
        <w:b/>
        <w:bCs/>
      </w:rPr>
      <w:tcPr>
        <w:tcBorders>
          <w:bottom w:val="single" w:color="ACD78D" w:themeColor="accent4" w:themeTint="99" w:sz="12" w:space="0"/>
        </w:tcBorders>
      </w:tcPr>
    </w:tblStylePr>
    <w:tblStylePr w:type="lastRow">
      <w:rPr>
        <w:b/>
        <w:bCs/>
      </w:rPr>
      <w:tcPr>
        <w:tcBorders>
          <w:top w:val="double" w:color="ACD78D" w:themeColor="accent4" w:themeTint="99" w:sz="2" w:space="0"/>
        </w:tcBorders>
      </w:tcPr>
    </w:tblStylePr>
    <w:tblStylePr w:type="firstCol">
      <w:rPr>
        <w:b/>
        <w:bCs/>
      </w:rPr>
    </w:tblStylePr>
    <w:tblStylePr w:type="lastCol">
      <w:rPr>
        <w:b/>
        <w:bCs/>
      </w:rPr>
    </w:tblStylePr>
  </w:style>
  <w:style w:type="table" w:customStyle="1" w:styleId="22">
    <w:name w:val="Grid Table 1 Light Accent 5"/>
    <w:basedOn w:val="6"/>
    <w:uiPriority w:val="46"/>
    <w:tblPr>
      <w:tblBorders>
        <w:top w:val="single" w:color="A8E9E3" w:themeColor="accent5" w:themeTint="66" w:sz="4" w:space="0"/>
        <w:left w:val="single" w:color="A8E9E3" w:themeColor="accent5" w:themeTint="66" w:sz="4" w:space="0"/>
        <w:bottom w:val="single" w:color="A8E9E3" w:themeColor="accent5" w:themeTint="66" w:sz="4" w:space="0"/>
        <w:right w:val="single" w:color="A8E9E3" w:themeColor="accent5" w:themeTint="66" w:sz="4" w:space="0"/>
        <w:insideH w:val="single" w:color="A8E9E3" w:themeColor="accent5" w:themeTint="66" w:sz="4" w:space="0"/>
        <w:insideV w:val="single" w:color="A8E9E3" w:themeColor="accent5" w:themeTint="66" w:sz="4" w:space="0"/>
      </w:tblBorders>
    </w:tblPr>
    <w:tblStylePr w:type="firstRow">
      <w:rPr>
        <w:b/>
        <w:bCs/>
      </w:rPr>
      <w:tcPr>
        <w:tcBorders>
          <w:bottom w:val="single" w:color="7DDED6" w:themeColor="accent5" w:themeTint="99" w:sz="12" w:space="0"/>
        </w:tcBorders>
      </w:tcPr>
    </w:tblStylePr>
    <w:tblStylePr w:type="lastRow">
      <w:rPr>
        <w:b/>
        <w:bCs/>
      </w:rPr>
      <w:tcPr>
        <w:tcBorders>
          <w:top w:val="double" w:color="7DDED6" w:themeColor="accent5" w:themeTint="99" w:sz="2" w:space="0"/>
        </w:tcBorders>
      </w:tcPr>
    </w:tblStylePr>
    <w:tblStylePr w:type="firstCol">
      <w:rPr>
        <w:b/>
        <w:bCs/>
      </w:rPr>
    </w:tblStylePr>
    <w:tblStylePr w:type="lastCol">
      <w:rPr>
        <w:b/>
        <w:bCs/>
      </w:rPr>
    </w:tblStylePr>
  </w:style>
  <w:style w:type="table" w:customStyle="1" w:styleId="23">
    <w:name w:val="Grid Table 1 Light Accent 6"/>
    <w:basedOn w:val="6"/>
    <w:uiPriority w:val="46"/>
    <w:tblPr>
      <w:tblBorders>
        <w:top w:val="single" w:color="F4B7BE" w:themeColor="accent6" w:themeTint="66" w:sz="4" w:space="0"/>
        <w:left w:val="single" w:color="F4B7BE" w:themeColor="accent6" w:themeTint="66" w:sz="4" w:space="0"/>
        <w:bottom w:val="single" w:color="F4B7BE" w:themeColor="accent6" w:themeTint="66" w:sz="4" w:space="0"/>
        <w:right w:val="single" w:color="F4B7BE" w:themeColor="accent6" w:themeTint="66" w:sz="4" w:space="0"/>
        <w:insideH w:val="single" w:color="F4B7BE" w:themeColor="accent6" w:themeTint="66" w:sz="4" w:space="0"/>
        <w:insideV w:val="single" w:color="F4B7BE" w:themeColor="accent6" w:themeTint="66" w:sz="4" w:space="0"/>
      </w:tblBorders>
    </w:tblPr>
    <w:tblStylePr w:type="firstRow">
      <w:rPr>
        <w:b/>
        <w:bCs/>
      </w:rPr>
      <w:tcPr>
        <w:tcBorders>
          <w:bottom w:val="single" w:color="EF939E" w:themeColor="accent6" w:themeTint="99" w:sz="12" w:space="0"/>
        </w:tcBorders>
      </w:tcPr>
    </w:tblStylePr>
    <w:tblStylePr w:type="lastRow">
      <w:rPr>
        <w:b/>
        <w:bCs/>
      </w:rPr>
      <w:tcPr>
        <w:tcBorders>
          <w:top w:val="double" w:color="EF939E" w:themeColor="accent6" w:themeTint="99" w:sz="2" w:space="0"/>
        </w:tcBorders>
      </w:tcPr>
    </w:tblStylePr>
    <w:tblStylePr w:type="firstCol">
      <w:rPr>
        <w:b/>
        <w:bCs/>
      </w:rPr>
    </w:tblStylePr>
    <w:tblStylePr w:type="lastCol">
      <w:rPr>
        <w:b/>
        <w:bCs/>
      </w:rPr>
    </w:tblStylePr>
  </w:style>
  <w:style w:type="table" w:customStyle="1" w:styleId="24">
    <w:name w:val="Grid Table 1 Light Accent 2"/>
    <w:basedOn w:val="6"/>
    <w:uiPriority w:val="46"/>
    <w:tblPr>
      <w:tblBorders>
        <w:top w:val="single" w:color="F8CCAB" w:themeColor="accent2" w:themeTint="66" w:sz="4" w:space="0"/>
        <w:left w:val="single" w:color="F8CCAB" w:themeColor="accent2" w:themeTint="66" w:sz="4" w:space="0"/>
        <w:bottom w:val="single" w:color="F8CCAB" w:themeColor="accent2" w:themeTint="66" w:sz="4" w:space="0"/>
        <w:right w:val="single" w:color="F8CCAB" w:themeColor="accent2" w:themeTint="66" w:sz="4" w:space="0"/>
        <w:insideH w:val="single" w:color="F8CCAB" w:themeColor="accent2" w:themeTint="66" w:sz="4" w:space="0"/>
        <w:insideV w:val="single" w:color="F8CCAB" w:themeColor="accent2" w:themeTint="66" w:sz="4" w:space="0"/>
      </w:tblBorders>
    </w:tblPr>
    <w:tblStylePr w:type="firstRow">
      <w:rPr>
        <w:b/>
        <w:bCs/>
      </w:rPr>
      <w:tcPr>
        <w:tcBorders>
          <w:bottom w:val="single" w:color="F4B382" w:themeColor="accent2" w:themeTint="99" w:sz="12" w:space="0"/>
        </w:tcBorders>
      </w:tcPr>
    </w:tblStylePr>
    <w:tblStylePr w:type="lastRow">
      <w:rPr>
        <w:b/>
        <w:bCs/>
      </w:rPr>
      <w:tcPr>
        <w:tcBorders>
          <w:top w:val="double" w:color="F4B382" w:themeColor="accent2" w:themeTint="99" w:sz="2" w:space="0"/>
        </w:tcBorders>
      </w:tcPr>
    </w:tblStylePr>
    <w:tblStylePr w:type="firstCol">
      <w:rPr>
        <w:b/>
        <w:bCs/>
      </w:rPr>
    </w:tblStylePr>
    <w:tblStylePr w:type="lastCol">
      <w:rPr>
        <w:b/>
        <w:bCs/>
      </w:rPr>
    </w:tblStylePr>
  </w:style>
  <w:style w:type="table" w:customStyle="1" w:styleId="25">
    <w:name w:val="Grid Table 2"/>
    <w:basedOn w:val="6"/>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6">
    <w:name w:val="Grid Table 2 Accent 1"/>
    <w:basedOn w:val="6"/>
    <w:uiPriority w:val="47"/>
    <w:tblPr>
      <w:tblBorders>
        <w:top w:val="single" w:color="91ABDF" w:themeColor="accent1" w:themeTint="99" w:sz="2" w:space="0"/>
        <w:bottom w:val="single" w:color="91ABDF" w:themeColor="accent1" w:themeTint="99" w:sz="2" w:space="0"/>
        <w:insideH w:val="single" w:color="91ABDF" w:themeColor="accent1" w:themeTint="99" w:sz="2" w:space="0"/>
        <w:insideV w:val="single" w:color="91ABDF" w:themeColor="accent1" w:themeTint="99" w:sz="2" w:space="0"/>
      </w:tblBorders>
    </w:tblPr>
    <w:tblStylePr w:type="firstRow">
      <w:rPr>
        <w:b/>
        <w:bCs/>
      </w:rPr>
      <w:tcPr>
        <w:tcBorders>
          <w:top w:val="nil"/>
          <w:bottom w:val="single" w:color="91ABDF" w:themeColor="accent1" w:themeTint="99" w:sz="12" w:space="0"/>
          <w:insideH w:val="nil"/>
          <w:insideV w:val="nil"/>
        </w:tcBorders>
        <w:shd w:val="clear" w:color="auto" w:fill="FFFFFF" w:themeFill="background1"/>
      </w:tcPr>
    </w:tblStylePr>
    <w:tblStylePr w:type="lastRow">
      <w:rPr>
        <w:b/>
        <w:bCs/>
      </w:rPr>
      <w:tcPr>
        <w:tcBorders>
          <w:top w:val="double" w:color="91ABDF"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AE3F4" w:themeFill="accent1" w:themeFillTint="33"/>
      </w:tcPr>
    </w:tblStylePr>
    <w:tblStylePr w:type="band1Horz">
      <w:tcPr>
        <w:shd w:val="clear" w:color="auto" w:fill="DAE3F4" w:themeFill="accent1" w:themeFillTint="33"/>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1057</Words>
  <Characters>6550</Characters>
  <Lines>116</Lines>
  <Paragraphs>31</Paragraphs>
  <TotalTime>30</TotalTime>
  <ScaleCrop>false</ScaleCrop>
  <LinksUpToDate>false</LinksUpToDate>
  <CharactersWithSpaces>7576</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2026-02-19T16:27:00Z</dcterms:created>
  <dc:creator>Mr. right</dc:creator>
  <cp:lastModifiedBy>kezhen</cp:lastModifiedBy>
  <dcterms:modified xsi:type="dcterms:W3CDTF">2026-03-20T20:25:24Z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1033-12.1.22553.22553</vt:lpwstr>
  </property>
  <property fmtid="{D5CDD505-2E9C-101B-9397-08002B2CF9AE}" pid="3" name="ICV">
    <vt:lpwstr>0A15D24B0FEFA7DFD10F9769052490DB_41</vt:lpwstr>
  </property>
</Properties>
</file>