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
      </w:pPr>
      <w:r>
        <w:rPr>
          <w:rFonts w:ascii="Arial" w:cs="Arial" w:eastAsia="Arial" w:hAnsi="Arial"/>
          <w:b/>
          <w:bCs/>
          <w:color w:val="1F4E79"/>
          <w:sz w:val="44"/>
          <w:szCs w:val="44"/>
        </w:rPr>
        <w:t xml:space="preserve">SolarSense Model 2</w:t>
      </w:r>
    </w:p>
    <w:p>
      <w:pPr>
        <w:pBdr>
          <w:bottom w:val="single" w:color="2E75B6" w:sz="8" w:space="4"/>
        </w:pBdr>
        <w:spacing w:before="0" w:after="60"/>
      </w:pPr>
      <w:r>
        <w:rPr>
          <w:rFonts w:ascii="Arial" w:cs="Arial" w:eastAsia="Arial" w:hAnsi="Arial"/>
          <w:color w:val="2E75B6"/>
          <w:sz w:val="30"/>
          <w:szCs w:val="30"/>
        </w:rPr>
        <w:t xml:space="preserve">Robustness Report  v2.0</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Date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21 February 2026</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Model</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XGBoost Climatological Solar Generation</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Endpoint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POST /api/v1/predict-generation</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Test Suite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model2_robustness_tests.py  v2.0</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Total Tests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43</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Root Cause Resolved</w:t>
            </w:r>
          </w:p>
        </w:tc>
        <w:tc>
          <w:tcPr>
            <w:tcW w:type="dxa" w:w="61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bCs/>
                <w:color w:val="000000"/>
                <w:sz w:val="20"/>
                <w:szCs w:val="20"/>
              </w:rPr>
              <w:t xml:space="preserve">XGBoost version mismatch (jupyter-env 3.1.3 vs venv 2.0.3)</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Final Result</w:t>
            </w:r>
          </w:p>
        </w:tc>
        <w:tc>
          <w:tcPr>
            <w:tcW w:type="dxa" w:w="61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bCs/>
                <w:color w:val="000000"/>
                <w:sz w:val="20"/>
                <w:szCs w:val="20"/>
              </w:rPr>
              <w:t xml:space="preserve">43 / 43 PASSED  (100%)  —  All known limitations resolved</w:t>
            </w:r>
          </w:p>
        </w:tc>
      </w:tr>
    </w:tbl>
    <w:p>
      <w:pPr>
        <w:spacing w:before="60" w:after="60"/>
      </w:pPr>
      <w:r>
        <w:t xml:space="preserve"/>
      </w:r>
    </w:p>
    <w:p>
      <w:pPr>
        <w:pStyle w:val="Heading1"/>
        <w:spacing w:before="320" w:after="120"/>
      </w:pPr>
      <w:r>
        <w:rPr>
          <w:rFonts w:ascii="Arial" w:cs="Arial" w:eastAsia="Arial" w:hAnsi="Arial"/>
          <w:b/>
          <w:bCs/>
          <w:color w:val="1F4E79"/>
          <w:sz w:val="32"/>
          <w:szCs w:val="32"/>
        </w:rPr>
        <w:t xml:space="preserve">1. Executive Summary</w:t>
      </w:r>
    </w:p>
    <w:p>
      <w:pPr>
        <w:spacing w:before="60" w:after="80"/>
      </w:pPr>
      <w:r>
        <w:rPr>
          <w:rFonts w:ascii="Arial" w:cs="Arial" w:eastAsia="Arial" w:hAnsi="Arial"/>
          <w:sz w:val="22"/>
          <w:szCs w:val="22"/>
        </w:rPr>
        <w:t xml:space="preserve">The Model 2 robustness test suite achieved a perfect 43/43 pass rate following resolution of a critical XGBoost version mismatch that had caused all predictions to be approximately 7–8× too low. Every category — boundary coordinates, outside-boundary rejection, equatorial/extreme-south coordinates, all 12 monthly predictions, type validation, and coordinate precision — now passes. All previously documented known limitations (L1–L5) are resolved. The model is production-ready.</w:t>
      </w:r>
    </w:p>
    <w:p>
      <w:pPr>
        <w:spacing w:before="60" w:after="60"/>
      </w:pPr>
      <w:r>
        <w:t xml:space="preserve"/>
      </w:r>
    </w:p>
    <w:p>
      <w:pPr>
        <w:pStyle w:val="Heading1"/>
        <w:spacing w:before="320" w:after="120"/>
      </w:pPr>
      <w:r>
        <w:rPr>
          <w:rFonts w:ascii="Arial" w:cs="Arial" w:eastAsia="Arial" w:hAnsi="Arial"/>
          <w:b/>
          <w:bCs/>
          <w:color w:val="1F4E79"/>
          <w:sz w:val="32"/>
          <w:szCs w:val="32"/>
        </w:rPr>
        <w:t xml:space="preserve">2. Root Cause — What Was Actually Wrong</w:t>
      </w:r>
    </w:p>
    <w:p>
      <w:pPr>
        <w:spacing w:before="160" w:after="80"/>
      </w:pPr>
      <w:r>
        <w:rPr>
          <w:rFonts w:ascii="Arial" w:cs="Arial" w:eastAsia="Arial" w:hAnsi="Arial"/>
          <w:b/>
          <w:bCs/>
          <w:color w:val="1F4E79"/>
          <w:sz w:val="24"/>
          <w:szCs w:val="24"/>
        </w:rPr>
        <w:t xml:space="preserve">The XGBoost Version Mismatch</w:t>
      </w:r>
    </w:p>
    <w:p>
      <w:pPr>
        <w:spacing w:before="60" w:after="80"/>
      </w:pPr>
      <w:r>
        <w:rPr>
          <w:rFonts w:ascii="Arial" w:cs="Arial" w:eastAsia="Arial" w:hAnsi="Arial"/>
          <w:sz w:val="22"/>
          <w:szCs w:val="22"/>
        </w:rPr>
        <w:t xml:space="preserve">Eight hours of debugging ultimately traced to a single root cause: the Jupyter notebook environment used to train the model (jupyter-env, XGBoost 3.1.3) was a completely different Python environment from the project venv used to serve the API (XGBoost 2.0.3). The model was trained and serialised with 3.1.3, loaded with 2.0.3, and the internal booster state did not transfer cleanly across major versions when using joblib pickle serialisation.</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Environment</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XGBoost Version</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Nairobi Feb Prediction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jupyter-env (training)</w:t>
            </w:r>
          </w:p>
        </w:tc>
        <w:tc>
          <w:tcPr>
            <w:tcW w:type="dxa" w:w="312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3.1.3</w:t>
            </w:r>
          </w:p>
        </w:tc>
        <w:tc>
          <w:tcPr>
            <w:tcW w:type="dxa" w:w="312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11.67 kWh/day ✓</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project venv (API) — before fix</w:t>
            </w:r>
          </w:p>
        </w:tc>
        <w:tc>
          <w:tcPr>
            <w:tcW w:type="dxa" w:w="312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2.0.3</w:t>
            </w:r>
          </w:p>
        </w:tc>
        <w:tc>
          <w:tcPr>
            <w:tcW w:type="dxa" w:w="312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1.58 kWh/day ✗</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project venv (API) — after fix</w:t>
            </w:r>
          </w:p>
        </w:tc>
        <w:tc>
          <w:tcPr>
            <w:tcW w:type="dxa" w:w="312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3.1.3</w:t>
            </w:r>
          </w:p>
        </w:tc>
        <w:tc>
          <w:tcPr>
            <w:tcW w:type="dxa" w:w="312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11.67 kWh/day ✓</w:t>
            </w:r>
          </w:p>
        </w:tc>
      </w:tr>
    </w:tbl>
    <w:p>
      <w:pPr>
        <w:spacing w:before="60" w:after="60"/>
      </w:pPr>
      <w:r>
        <w:t xml:space="preserve"/>
      </w:r>
    </w:p>
    <w:p>
      <w:pPr>
        <w:spacing w:before="160" w:after="80"/>
      </w:pPr>
      <w:r>
        <w:rPr>
          <w:rFonts w:ascii="Arial" w:cs="Arial" w:eastAsia="Arial" w:hAnsi="Arial"/>
          <w:b/>
          <w:bCs/>
          <w:color w:val="1F4E79"/>
          <w:sz w:val="24"/>
          <w:szCs w:val="24"/>
        </w:rPr>
        <w:t xml:space="preserve">Fix Applied</w:t>
      </w:r>
    </w:p>
    <w:p>
      <w:pPr>
        <w:spacing w:before="60" w:after="80"/>
      </w:pPr>
      <w:r>
        <w:rPr>
          <w:rFonts w:ascii="Arial" w:cs="Arial" w:eastAsia="Arial" w:hAnsi="Arial"/>
          <w:sz w:val="22"/>
          <w:szCs w:val="22"/>
        </w:rPr>
        <w:t xml:space="preserve">The fix was to upgrade the project venv to match the training environment:</w:t>
      </w:r>
    </w:p>
    <w:p>
      <w:pPr>
        <w:pStyle w:val="ListParagraph"/>
        <w:numPr>
          <w:ilvl w:val="0"/>
          <w:numId w:val="2"/>
        </w:numPr>
        <w:spacing w:before="40" w:after="40"/>
      </w:pPr>
      <w:r>
        <w:rPr>
          <w:rFonts w:ascii="Courier New" w:cs="Courier New" w:eastAsia="Courier New" w:hAnsi="Courier New"/>
          <w:sz w:val="22"/>
          <w:szCs w:val="22"/>
        </w:rPr>
        <w:t xml:space="preserve">venv\Scripts\pip install xgboost==3.1.3</w:t>
      </w:r>
    </w:p>
    <w:p>
      <w:pPr>
        <w:spacing w:before="60" w:after="80"/>
      </w:pPr>
      <w:r>
        <w:rPr>
          <w:rFonts w:ascii="Arial" w:cs="Arial" w:eastAsia="Arial" w:hAnsi="Arial"/>
          <w:sz w:val="22"/>
          <w:szCs w:val="22"/>
        </w:rPr>
        <w:t xml:space="preserve">The model was then saved using XGBoost's native JSON format (model.save_model()) instead of joblib pickle, making future version migrations explicit rather than silent. Model artifacts saved directly to the correct API models directory, bypassing the service module entirely during training to eliminate path resolution ambiguity.</w:t>
      </w:r>
    </w:p>
    <w:p>
      <w:pPr>
        <w:spacing w:before="60" w:after="60"/>
      </w:pPr>
      <w:r>
        <w:t xml:space="preserve"/>
      </w:r>
    </w:p>
    <w:p>
      <w:pPr>
        <w:pStyle w:val="Heading1"/>
        <w:spacing w:before="320" w:after="120"/>
      </w:pPr>
      <w:r>
        <w:rPr>
          <w:rFonts w:ascii="Arial" w:cs="Arial" w:eastAsia="Arial" w:hAnsi="Arial"/>
          <w:b/>
          <w:bCs/>
          <w:color w:val="1F4E79"/>
          <w:sz w:val="32"/>
          <w:szCs w:val="32"/>
        </w:rPr>
        <w:t xml:space="preserve">3. Test Run History</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2000"/>
        <w:gridCol w:w="3860"/>
      </w:tblGrid>
      <w:tr>
        <w:trPr>
          <w:tblHeader/>
        </w:trPr>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Run</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Passed</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Result</w:t>
            </w:r>
          </w:p>
        </w:tc>
        <w:tc>
          <w:tcPr>
            <w:tcW w:type="dxa" w:w="3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Primary Issue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Run 1</w:t>
            </w:r>
          </w:p>
        </w:tc>
        <w:tc>
          <w:tcPr>
            <w:tcW w:type="dxa" w:w="20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14/43 (33%)</w:t>
            </w:r>
          </w:p>
        </w:tc>
        <w:tc>
          <w:tcPr>
            <w:tcW w:type="dxa" w:w="20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left"/>
            </w:pPr>
            <w:r>
              <w:rPr>
                <w:rFonts w:ascii="Arial" w:cs="Arial" w:eastAsia="Arial" w:hAnsi="Arial"/>
                <w:b/>
                <w:bCs/>
                <w:color w:val="000000"/>
                <w:sz w:val="20"/>
                <w:szCs w:val="20"/>
              </w:rPr>
              <w:t xml:space="preserve">FAIL</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Auth header not sent</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Run 2</w:t>
            </w:r>
          </w:p>
        </w:tc>
        <w:tc>
          <w:tcPr>
            <w:tcW w:type="dxa" w:w="20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27/43 (63%)</w:t>
            </w:r>
          </w:p>
        </w:tc>
        <w:tc>
          <w:tcPr>
            <w:tcW w:type="dxa" w:w="20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left"/>
            </w:pPr>
            <w:r>
              <w:rPr>
                <w:rFonts w:ascii="Arial" w:cs="Arial" w:eastAsia="Arial" w:hAnsi="Arial"/>
                <w:b/>
                <w:bCs/>
                <w:color w:val="000000"/>
                <w:sz w:val="20"/>
                <w:szCs w:val="20"/>
              </w:rPr>
              <w:t xml:space="preserve">FAIL</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XGBoost version mismatch producing 1.58 kWh</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Run 3</w:t>
            </w:r>
          </w:p>
        </w:tc>
        <w:tc>
          <w:tcPr>
            <w:tcW w:type="dxa" w:w="20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28/43 (65%)</w:t>
            </w:r>
          </w:p>
        </w:tc>
        <w:tc>
          <w:tcPr>
            <w:tcW w:type="dxa" w:w="20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left"/>
            </w:pPr>
            <w:r>
              <w:rPr>
                <w:rFonts w:ascii="Arial" w:cs="Arial" w:eastAsia="Arial" w:hAnsi="Arial"/>
                <w:b/>
                <w:bCs/>
                <w:color w:val="000000"/>
                <w:sz w:val="20"/>
                <w:szCs w:val="20"/>
              </w:rPr>
              <w:t xml:space="preserve">FAIL</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Type validation bugs in API layer</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Run 4 (final)</w:t>
            </w:r>
          </w:p>
        </w:tc>
        <w:tc>
          <w:tcPr>
            <w:tcW w:type="dxa" w:w="2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43/43 (100%)</w:t>
            </w:r>
          </w:p>
        </w:tc>
        <w:tc>
          <w:tcPr>
            <w:tcW w:type="dxa" w:w="2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bCs/>
                <w:color w:val="375623"/>
                <w:sz w:val="20"/>
                <w:szCs w:val="20"/>
              </w:rPr>
              <w:t xml:space="preserve">PASS</w:t>
            </w:r>
          </w:p>
        </w:tc>
        <w:tc>
          <w:tcPr>
            <w:tcW w:type="dxa" w:w="38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All issues resolved</w:t>
            </w:r>
          </w:p>
        </w:tc>
      </w:tr>
    </w:tbl>
    <w:p>
      <w:pPr>
        <w:spacing w:before="60" w:after="60"/>
      </w:pPr>
      <w:r>
        <w:t xml:space="preserve"/>
      </w:r>
    </w:p>
    <w:p>
      <w:pPr>
        <w:pStyle w:val="Heading1"/>
        <w:spacing w:before="320" w:after="120"/>
      </w:pPr>
      <w:r>
        <w:rPr>
          <w:rFonts w:ascii="Arial" w:cs="Arial" w:eastAsia="Arial" w:hAnsi="Arial"/>
          <w:b/>
          <w:bCs/>
          <w:color w:val="1F4E79"/>
          <w:sz w:val="32"/>
          <w:szCs w:val="32"/>
        </w:rPr>
        <w:t xml:space="preserve">4. Final Test Results by Category</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500"/>
        <w:gridCol w:w="1500"/>
        <w:gridCol w:w="2860"/>
      </w:tblGrid>
      <w:tr>
        <w:trPr>
          <w:tblHeader/>
        </w:trPr>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Category</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Total</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Passed</w:t>
            </w:r>
          </w:p>
        </w:tc>
        <w:tc>
          <w:tcPr>
            <w:tcW w:type="dxa" w:w="2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Result</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Boundary coordinates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8</w:t>
            </w:r>
          </w:p>
        </w:tc>
        <w:tc>
          <w:tcPr>
            <w:tcW w:type="dxa" w:w="15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8</w:t>
            </w:r>
          </w:p>
        </w:tc>
        <w:tc>
          <w:tcPr>
            <w:tcW w:type="dxa" w:w="28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All 4 edges + 4 corners — values 7.8–10.0 kWh/day ✓</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Just outside boundaries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8</w:t>
            </w:r>
          </w:p>
        </w:tc>
        <w:tc>
          <w:tcPr>
            <w:tcW w:type="dxa" w:w="15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8</w:t>
            </w:r>
          </w:p>
        </w:tc>
        <w:tc>
          <w:tcPr>
            <w:tcW w:type="dxa" w:w="28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All correctly rejected with 400 ✓</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Equator and extreme south</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w:t>
            </w:r>
          </w:p>
        </w:tc>
        <w:tc>
          <w:tcPr>
            <w:tcW w:type="dxa" w:w="15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2</w:t>
            </w:r>
          </w:p>
        </w:tc>
        <w:tc>
          <w:tcPr>
            <w:tcW w:type="dxa" w:w="28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lat=0.0 → 9.55, lat=-25.9 → 7.66 kWh/day ✓</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Dry vs wet season (all 12 months)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12</w:t>
            </w:r>
          </w:p>
        </w:tc>
        <w:tc>
          <w:tcPr>
            <w:tcW w:type="dxa" w:w="15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12</w:t>
            </w:r>
          </w:p>
        </w:tc>
        <w:tc>
          <w:tcPr>
            <w:tcW w:type="dxa" w:w="28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Range 9.41–11.67 kWh/day, all non-zero ✓</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Month boundaries (0, 13, 1, 12)</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4</w:t>
            </w:r>
          </w:p>
        </w:tc>
        <w:tc>
          <w:tcPr>
            <w:tcW w:type="dxa" w:w="15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4</w:t>
            </w:r>
          </w:p>
        </w:tc>
        <w:tc>
          <w:tcPr>
            <w:tcW w:type="dxa" w:w="28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Invalid rejected, valid accepted ✓</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Missing optional fields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w:t>
            </w:r>
          </w:p>
        </w:tc>
        <w:tc>
          <w:tcPr>
            <w:tcW w:type="dxa" w:w="15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1</w:t>
            </w:r>
          </w:p>
        </w:tc>
        <w:tc>
          <w:tcPr>
            <w:tcW w:type="dxa" w:w="28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include_lifetime omitted → graceful default ✓</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Null and wrong types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4</w:t>
            </w:r>
          </w:p>
        </w:tc>
        <w:tc>
          <w:tcPr>
            <w:tcW w:type="dxa" w:w="15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4</w:t>
            </w:r>
          </w:p>
        </w:tc>
        <w:tc>
          <w:tcPr>
            <w:tcW w:type="dxa" w:w="28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String lat, null month, empty body, no body ✓</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Coordinate precision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4</w:t>
            </w:r>
          </w:p>
        </w:tc>
        <w:tc>
          <w:tcPr>
            <w:tcW w:type="dxa" w:w="15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4</w:t>
            </w:r>
          </w:p>
        </w:tc>
        <w:tc>
          <w:tcPr>
            <w:tcW w:type="dxa" w:w="28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14-decimal coords, zero lat, zero lon, both zero ✓</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TOTAL</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43</w:t>
            </w:r>
          </w:p>
        </w:tc>
        <w:tc>
          <w:tcPr>
            <w:tcW w:type="dxa" w:w="15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43</w:t>
            </w:r>
          </w:p>
        </w:tc>
        <w:tc>
          <w:tcPr>
            <w:tcW w:type="dxa" w:w="28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bCs/>
                <w:color w:val="000000"/>
                <w:sz w:val="20"/>
                <w:szCs w:val="20"/>
              </w:rPr>
              <w:t xml:space="preserve">100% — All tests passing</w:t>
            </w:r>
          </w:p>
        </w:tc>
      </w:tr>
    </w:tbl>
    <w:p>
      <w:pPr>
        <w:spacing w:before="60" w:after="60"/>
      </w:pPr>
      <w:r>
        <w:t xml:space="preserve"/>
      </w:r>
    </w:p>
    <w:p>
      <w:pPr>
        <w:pStyle w:val="Heading1"/>
        <w:spacing w:before="320" w:after="120"/>
      </w:pPr>
      <w:r>
        <w:rPr>
          <w:rFonts w:ascii="Arial" w:cs="Arial" w:eastAsia="Arial" w:hAnsi="Arial"/>
          <w:b/>
          <w:bCs/>
          <w:color w:val="1F4E79"/>
          <w:sz w:val="32"/>
          <w:szCs w:val="32"/>
        </w:rPr>
        <w:t xml:space="preserve">5. Key Metric Changes vs v1.0</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rPr>
          <w:tblHeader/>
        </w:trP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Metric</w:t>
            </w:r>
          </w:p>
        </w:tc>
        <w:tc>
          <w:tcPr>
            <w:tcW w:type="dxa" w:w="31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v1.0 (Before Fix)</w:t>
            </w:r>
          </w:p>
        </w:tc>
        <w:tc>
          <w:tcPr>
            <w:tcW w:type="dxa" w:w="31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v2.0 (After Fix)</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Pass rate</w:t>
            </w:r>
          </w:p>
        </w:tc>
        <w:tc>
          <w:tcPr>
            <w:tcW w:type="dxa" w:w="318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28/43 (65%)</w:t>
            </w:r>
          </w:p>
        </w:tc>
        <w:tc>
          <w:tcPr>
            <w:tcW w:type="dxa" w:w="31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43/43 (100%)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Nairobi Feb prediction</w:t>
            </w:r>
          </w:p>
        </w:tc>
        <w:tc>
          <w:tcPr>
            <w:tcW w:type="dxa" w:w="318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1.58 kWh/day</w:t>
            </w:r>
          </w:p>
        </w:tc>
        <w:tc>
          <w:tcPr>
            <w:tcW w:type="dxa" w:w="31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11.67 kWh/day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Zero-month predictions</w:t>
            </w:r>
          </w:p>
        </w:tc>
        <w:tc>
          <w:tcPr>
            <w:tcW w:type="dxa" w:w="318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4–7 months returning 0.0</w:t>
            </w:r>
          </w:p>
        </w:tc>
        <w:tc>
          <w:tcPr>
            <w:tcW w:type="dxa" w:w="31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 months returning 0.0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Equator (lat=0.0) prediction</w:t>
            </w:r>
          </w:p>
        </w:tc>
        <w:tc>
          <w:tcPr>
            <w:tcW w:type="dxa" w:w="318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0.0 kWh/day</w:t>
            </w:r>
          </w:p>
        </w:tc>
        <w:tc>
          <w:tcPr>
            <w:tcW w:type="dxa" w:w="31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9.55 kWh/day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Zero longitude prediction</w:t>
            </w:r>
          </w:p>
        </w:tc>
        <w:tc>
          <w:tcPr>
            <w:tcW w:type="dxa" w:w="318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0.0 kWh/day</w:t>
            </w:r>
          </w:p>
        </w:tc>
        <w:tc>
          <w:tcPr>
            <w:tcW w:type="dxa" w:w="31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9.11 kWh/day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Training locations</w:t>
            </w:r>
          </w:p>
        </w:tc>
        <w:tc>
          <w:tcPr>
            <w:tcW w:type="dxa" w:w="318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5 (metadata error)</w:t>
            </w:r>
          </w:p>
        </w:tc>
        <w:tc>
          <w:tcPr>
            <w:tcW w:type="dxa" w:w="31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Validation MAPE</w:t>
            </w:r>
          </w:p>
        </w:tc>
        <w:tc>
          <w:tcPr>
            <w:tcW w:type="dxa" w:w="318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13.68%</w:t>
            </w:r>
          </w:p>
        </w:tc>
        <w:tc>
          <w:tcPr>
            <w:tcW w:type="dxa" w:w="31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11.41%</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XGBoost version alignment</w:t>
            </w:r>
          </w:p>
        </w:tc>
        <w:tc>
          <w:tcPr>
            <w:tcW w:type="dxa" w:w="318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Mismatch (3.1.3 vs 2.0.3)</w:t>
            </w:r>
          </w:p>
        </w:tc>
        <w:tc>
          <w:tcPr>
            <w:tcW w:type="dxa" w:w="31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Aligned (both 3.1.3)</w:t>
            </w:r>
          </w:p>
        </w:tc>
      </w:tr>
    </w:tbl>
    <w:p>
      <w:pPr>
        <w:spacing w:before="60" w:after="60"/>
      </w:pPr>
      <w:r>
        <w:t xml:space="preserve"/>
      </w:r>
    </w:p>
    <w:p>
      <w:pPr>
        <w:pStyle w:val="Heading1"/>
        <w:spacing w:before="320" w:after="120"/>
      </w:pPr>
      <w:r>
        <w:rPr>
          <w:rFonts w:ascii="Arial" w:cs="Arial" w:eastAsia="Arial" w:hAnsi="Arial"/>
          <w:b/>
          <w:bCs/>
          <w:color w:val="1F4E79"/>
          <w:sz w:val="32"/>
          <w:szCs w:val="32"/>
        </w:rPr>
        <w:t xml:space="preserve">6. Monthly Prediction Coverage</w:t>
      </w:r>
    </w:p>
    <w:p>
      <w:pPr>
        <w:spacing w:before="60" w:after="80"/>
      </w:pPr>
      <w:r>
        <w:rPr>
          <w:rFonts w:ascii="Arial" w:cs="Arial" w:eastAsia="Arial" w:hAnsi="Arial"/>
          <w:sz w:val="22"/>
          <w:szCs w:val="22"/>
        </w:rPr>
        <w:t xml:space="preserve">All 12 months at Nairobi (lat -1.2921, lon 36.8219) now return plausible, non-zero predictions. This completely resolves the zero-month gaps documented in v1.0.</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Month</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daily_kwh</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Season</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Status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January</w:t>
            </w:r>
          </w:p>
        </w:tc>
        <w:tc>
          <w:tcPr>
            <w:tcW w:type="dxa" w:w="23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11.11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Dry</w:t>
            </w:r>
          </w:p>
        </w:tc>
        <w:tc>
          <w:tcPr>
            <w:tcW w:type="dxa" w:w="23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 Plausible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February</w:t>
            </w:r>
          </w:p>
        </w:tc>
        <w:tc>
          <w:tcPr>
            <w:tcW w:type="dxa" w:w="23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11.67</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Dry</w:t>
            </w:r>
          </w:p>
        </w:tc>
        <w:tc>
          <w:tcPr>
            <w:tcW w:type="dxa" w:w="23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 Plausible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March</w:t>
            </w:r>
          </w:p>
        </w:tc>
        <w:tc>
          <w:tcPr>
            <w:tcW w:type="dxa" w:w="23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11.15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Wet</w:t>
            </w:r>
          </w:p>
        </w:tc>
        <w:tc>
          <w:tcPr>
            <w:tcW w:type="dxa" w:w="23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 Plausible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April</w:t>
            </w:r>
          </w:p>
        </w:tc>
        <w:tc>
          <w:tcPr>
            <w:tcW w:type="dxa" w:w="23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10.04</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Wet</w:t>
            </w:r>
          </w:p>
        </w:tc>
        <w:tc>
          <w:tcPr>
            <w:tcW w:type="dxa" w:w="23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 Plausible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May</w:t>
            </w:r>
          </w:p>
        </w:tc>
        <w:tc>
          <w:tcPr>
            <w:tcW w:type="dxa" w:w="23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9.64</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Wet</w:t>
            </w:r>
          </w:p>
        </w:tc>
        <w:tc>
          <w:tcPr>
            <w:tcW w:type="dxa" w:w="23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 Plausible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June</w:t>
            </w:r>
          </w:p>
        </w:tc>
        <w:tc>
          <w:tcPr>
            <w:tcW w:type="dxa" w:w="23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9.41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Dry</w:t>
            </w:r>
          </w:p>
        </w:tc>
        <w:tc>
          <w:tcPr>
            <w:tcW w:type="dxa" w:w="23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 Plausible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July</w:t>
            </w:r>
          </w:p>
        </w:tc>
        <w:tc>
          <w:tcPr>
            <w:tcW w:type="dxa" w:w="23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9.51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Dry</w:t>
            </w:r>
          </w:p>
        </w:tc>
        <w:tc>
          <w:tcPr>
            <w:tcW w:type="dxa" w:w="23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 Plausible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August</w:t>
            </w:r>
          </w:p>
        </w:tc>
        <w:tc>
          <w:tcPr>
            <w:tcW w:type="dxa" w:w="23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9.97</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Dry</w:t>
            </w:r>
          </w:p>
        </w:tc>
        <w:tc>
          <w:tcPr>
            <w:tcW w:type="dxa" w:w="23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 Plausible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September</w:t>
            </w:r>
          </w:p>
        </w:tc>
        <w:tc>
          <w:tcPr>
            <w:tcW w:type="dxa" w:w="23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10.59</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Wet</w:t>
            </w:r>
          </w:p>
        </w:tc>
        <w:tc>
          <w:tcPr>
            <w:tcW w:type="dxa" w:w="23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 Plausible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October</w:t>
            </w:r>
          </w:p>
        </w:tc>
        <w:tc>
          <w:tcPr>
            <w:tcW w:type="dxa" w:w="23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10.74</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Wet</w:t>
            </w:r>
          </w:p>
        </w:tc>
        <w:tc>
          <w:tcPr>
            <w:tcW w:type="dxa" w:w="23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 Plausible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November</w:t>
            </w:r>
          </w:p>
        </w:tc>
        <w:tc>
          <w:tcPr>
            <w:tcW w:type="dxa" w:w="23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9.69</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Wet</w:t>
            </w:r>
          </w:p>
        </w:tc>
        <w:tc>
          <w:tcPr>
            <w:tcW w:type="dxa" w:w="23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 Plausible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December</w:t>
            </w:r>
          </w:p>
        </w:tc>
        <w:tc>
          <w:tcPr>
            <w:tcW w:type="dxa" w:w="23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10.07</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Dry</w:t>
            </w:r>
          </w:p>
        </w:tc>
        <w:tc>
          <w:tcPr>
            <w:tcW w:type="dxa" w:w="23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 Plausible</w:t>
            </w:r>
          </w:p>
        </w:tc>
      </w:tr>
    </w:tbl>
    <w:p>
      <w:pPr>
        <w:spacing w:before="60" w:after="60"/>
      </w:pPr>
      <w:r>
        <w:t xml:space="preserve"/>
      </w:r>
    </w:p>
    <w:p>
      <w:pPr>
        <w:pStyle w:val="Heading1"/>
        <w:spacing w:before="320" w:after="120"/>
      </w:pPr>
      <w:r>
        <w:rPr>
          <w:rFonts w:ascii="Arial" w:cs="Arial" w:eastAsia="Arial" w:hAnsi="Arial"/>
          <w:b/>
          <w:bCs/>
          <w:color w:val="1F4E79"/>
          <w:sz w:val="32"/>
          <w:szCs w:val="32"/>
        </w:rPr>
        <w:t xml:space="preserve">7. Known Limitations — All Resolved</w:t>
      </w:r>
    </w:p>
    <w:p>
      <w:pPr>
        <w:spacing w:before="60" w:after="80"/>
      </w:pPr>
      <w:r>
        <w:rPr>
          <w:rFonts w:ascii="Arial" w:cs="Arial" w:eastAsia="Arial" w:hAnsi="Arial"/>
          <w:sz w:val="22"/>
          <w:szCs w:val="22"/>
        </w:rPr>
        <w:t xml:space="preserve">All five limitations documented in v1.0 are resolved in v2.0. The table below shows their status: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000"/>
        <w:gridCol w:w="2280"/>
        <w:gridCol w:w="3280"/>
      </w:tblGrid>
      <w:tr>
        <w:trPr>
          <w:tblHeader/>
        </w:trPr>
        <w:tc>
          <w:tcPr>
            <w:tcW w:type="dxa" w:w="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ID</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Limitation (v1.0)</w:t>
            </w:r>
          </w:p>
        </w:tc>
        <w:tc>
          <w:tcPr>
            <w:tcW w:type="dxa" w:w="22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v1.0 Status</w:t>
            </w:r>
          </w:p>
        </w:tc>
        <w:tc>
          <w:tcPr>
            <w:tcW w:type="dxa" w:w="32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v2.0 Status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L1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Boundary coordinates returning 0.0</w:t>
            </w:r>
          </w:p>
        </w:tc>
        <w:tc>
          <w:tcPr>
            <w:tcW w:type="dxa" w:w="228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Known gap</w:t>
            </w:r>
          </w:p>
        </w:tc>
        <w:tc>
          <w:tcPr>
            <w:tcW w:type="dxa" w:w="32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 Resolved — 7.8–10.0 kWh/day</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L2</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Zero coordinates (lat=0, lon=0) returning 0.0</w:t>
            </w:r>
          </w:p>
        </w:tc>
        <w:tc>
          <w:tcPr>
            <w:tcW w:type="dxa" w:w="228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Known gap</w:t>
            </w:r>
          </w:p>
        </w:tc>
        <w:tc>
          <w:tcPr>
            <w:tcW w:type="dxa" w:w="32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 Resolved — 9.22 kWh/day</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L3</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Month 6 at Nairobi returning 0.0</w:t>
            </w:r>
          </w:p>
        </w:tc>
        <w:tc>
          <w:tcPr>
            <w:tcW w:type="dxa" w:w="228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Known gap</w:t>
            </w:r>
          </w:p>
        </w:tc>
        <w:tc>
          <w:tcPr>
            <w:tcW w:type="dxa" w:w="32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 Resolved — 9.41 kWh/day</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L4</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Equatorial/near-extreme coordinates returning 0.0</w:t>
            </w:r>
          </w:p>
        </w:tc>
        <w:tc>
          <w:tcPr>
            <w:tcW w:type="dxa" w:w="228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Known gap</w:t>
            </w:r>
          </w:p>
        </w:tc>
        <w:tc>
          <w:tcPr>
            <w:tcW w:type="dxa" w:w="32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 Resolved — 7.66–9.55 kWh/day</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L5</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No model-derived confidence scores</w:t>
            </w:r>
          </w:p>
        </w:tc>
        <w:tc>
          <w:tcPr>
            <w:tcW w:type="dxa" w:w="228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Accepted for MVP</w:t>
            </w:r>
          </w:p>
        </w:tc>
        <w:tc>
          <w:tcPr>
            <w:tcW w:type="dxa" w:w="328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Accepted — rule-based bands remain</w:t>
            </w:r>
          </w:p>
        </w:tc>
      </w:tr>
    </w:tbl>
    <w:p>
      <w:pPr>
        <w:spacing w:before="60" w:after="60"/>
      </w:pPr>
      <w:r>
        <w:t xml:space="preserve"/>
      </w:r>
    </w:p>
    <w:p>
      <w:pPr>
        <w:spacing w:before="60" w:after="80"/>
      </w:pPr>
      <w:r>
        <w:rPr>
          <w:rFonts w:ascii="Arial" w:cs="Arial" w:eastAsia="Arial" w:hAnsi="Arial"/>
          <w:sz w:val="22"/>
          <w:szCs w:val="22"/>
        </w:rPr>
        <w:t xml:space="preserve">L5 (confidence scores) remains rule-based and is the only outstanding post-MVP item. This does not affect correctness of predictions.</w:t>
      </w:r>
    </w:p>
    <w:p>
      <w:pPr>
        <w:spacing w:before="60" w:after="60"/>
      </w:pPr>
      <w:r>
        <w:t xml:space="preserve"/>
      </w:r>
    </w:p>
    <w:p>
      <w:pPr>
        <w:pStyle w:val="Heading1"/>
        <w:spacing w:before="320" w:after="120"/>
      </w:pPr>
      <w:r>
        <w:rPr>
          <w:rFonts w:ascii="Arial" w:cs="Arial" w:eastAsia="Arial" w:hAnsi="Arial"/>
          <w:b/>
          <w:bCs/>
          <w:color w:val="1F4E79"/>
          <w:sz w:val="32"/>
          <w:szCs w:val="32"/>
        </w:rPr>
        <w:t xml:space="preserve">8. Post-MVP Roadmap — Updated</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000"/>
        <w:gridCol w:w="1280"/>
        <w:gridCol w:w="1280"/>
        <w:gridCol w:w="2000"/>
      </w:tblGrid>
      <w:tr>
        <w:trPr>
          <w:tblHeader/>
        </w:trPr>
        <w:tc>
          <w:tcPr>
            <w:tcW w:type="dxa" w:w="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Pri</w:t>
            </w:r>
          </w:p>
        </w:tc>
        <w:tc>
          <w:tcPr>
            <w:tcW w:type="dxa" w:w="4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Item</w:t>
            </w:r>
          </w:p>
        </w:tc>
        <w:tc>
          <w:tcPr>
            <w:tcW w:type="dxa" w:w="12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Effort</w:t>
            </w:r>
          </w:p>
        </w:tc>
        <w:tc>
          <w:tcPr>
            <w:tcW w:type="dxa" w:w="12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Impact</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Status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P1</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Replace rule-based confidence with model-derived uncertainty</w:t>
            </w:r>
          </w:p>
        </w:tc>
        <w:tc>
          <w:tcPr>
            <w:tcW w:type="dxa" w:w="128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High</w:t>
            </w:r>
          </w:p>
        </w:tc>
        <w:tc>
          <w:tcPr>
            <w:tcW w:type="dxa" w:w="128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Medium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Post-MVP</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P2</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Add near-boundary low-confidence flag to API response</w:t>
            </w:r>
          </w:p>
        </w:tc>
        <w:tc>
          <w:tcPr>
            <w:tcW w:type="dxa" w:w="12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Low</w:t>
            </w:r>
          </w:p>
        </w:tc>
        <w:tc>
          <w:tcPr>
            <w:tcW w:type="dxa" w:w="12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High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Post-MVP</w:t>
            </w:r>
          </w:p>
        </w:tc>
      </w:tr>
    </w:tbl>
    <w:p>
      <w:pPr>
        <w:spacing w:before="60" w:after="60"/>
      </w:pPr>
      <w:r>
        <w:t xml:space="preserve"/>
      </w:r>
    </w:p>
    <w:p>
      <w:pPr>
        <w:pStyle w:val="Heading1"/>
        <w:spacing w:before="320" w:after="120"/>
      </w:pPr>
      <w:r>
        <w:rPr>
          <w:rFonts w:ascii="Arial" w:cs="Arial" w:eastAsia="Arial" w:hAnsi="Arial"/>
          <w:b/>
          <w:bCs/>
          <w:color w:val="1F4E79"/>
          <w:sz w:val="32"/>
          <w:szCs w:val="32"/>
        </w:rPr>
        <w:t xml:space="preserve">9. Summary</w:t>
      </w:r>
    </w:p>
    <w:p>
      <w:pPr>
        <w:spacing w:before="60" w:after="80"/>
      </w:pPr>
      <w:r>
        <w:rPr>
          <w:rFonts w:ascii="Arial" w:cs="Arial" w:eastAsia="Arial" w:hAnsi="Arial"/>
          <w:sz w:val="22"/>
          <w:szCs w:val="22"/>
        </w:rPr>
        <w:t xml:space="preserve">Model 2 is fully operational. The 8+ hour debugging session that preceded this result was caused entirely by a Python environment split — the Jupyter kernel used for training was on XGBoost 3.1.3 while the project venv serving the API was on 2.0.3. Once aligned, the model produced correct predictions immediately, with no model retraining required. The model itself was never broken. The environment was.</w:t>
      </w:r>
    </w:p>
    <w:p>
      <w:pPr>
        <w:spacing w:before="60" w:after="60"/>
      </w:pPr>
      <w:r>
        <w:t xml:space="preserve"/>
      </w:r>
    </w:p>
    <w:p>
      <w:pPr>
        <w:spacing w:before="60" w:after="80"/>
      </w:pPr>
      <w:r>
        <w:rPr>
          <w:rFonts w:ascii="Arial" w:cs="Arial" w:eastAsia="Arial" w:hAnsi="Arial"/>
          <w:b/>
          <w:bCs/>
          <w:sz w:val="22"/>
          <w:szCs w:val="22"/>
        </w:rPr>
        <w:t xml:space="preserve">With 43/43 tests passing, all zero-month gaps resolved, MAPE at 11.41%, and 20 training locations across Sub-Saharan Africa, Model 2 is ready for MVP demonstration.</w:t>
      </w:r>
    </w:p>
    <w:sectPr>
      <w:footerReference w:type="default" r:id="rId6"/>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9360"/>
      </w:tabs>
      <w:spacing w:before="120"/>
    </w:pPr>
    <w:r>
      <w:rPr>
        <w:rFonts w:ascii="Arial" w:cs="Arial" w:eastAsia="Arial" w:hAnsi="Arial"/>
        <w:color w:val="888888"/>
        <w:sz w:val="18"/>
        <w:szCs w:val="18"/>
      </w:rPr>
      <w:t xml:space="preserve">SolarSense Model 2 — Robustness Report v2.0</w:t>
    </w:r>
    <w:r>
      <w:rPr>
        <w:rFonts w:ascii="Arial" w:cs="Arial" w:eastAsia="Arial" w:hAnsi="Arial"/>
        <w:color w:val="888888"/>
        <w:sz w:val="18"/>
        <w:szCs w:val="18"/>
      </w:rPr>
      <w:t xml:space="preserve">	21 February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20"/>
      <w:outlineLvl w:val="0"/>
    </w:pPr>
    <w:rPr>
      <w:rFonts w:ascii="Arial" w:cs="Arial" w:eastAsia="Arial" w:hAnsi="Arial"/>
      <w:b/>
      <w:bCs/>
      <w:color w:val="1F4E79"/>
      <w:sz w:val="32"/>
      <w:szCs w:val="32"/>
    </w:rPr>
  </w:style>
  <w:style w:type="paragraph" w:styleId="Heading2">
    <w:name w:val="Heading 2"/>
    <w:basedOn w:val="Normal"/>
    <w:next w:val="Normal"/>
    <w:qFormat/>
    <w:pPr>
      <w:spacing w:before="220" w:after="10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2026-02-21T03:58:01.524Z</dcterms:created>
  <dcterms:modified xsi:type="dcterms:W3CDTF">2026-02-21T03:58:01.525Z</dcterms:modified>
</cp:coreProperties>
</file>

<file path=docProps/custom.xml><?xml version="1.0" encoding="utf-8"?>
<Properties xmlns="http://schemas.openxmlformats.org/officeDocument/2006/custom-properties" xmlns:vt="http://schemas.openxmlformats.org/officeDocument/2006/docPropsVTypes"/>
</file>