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aps/>
          <w:color w:val="64748B"/>
          <w:sz w:val="20"/>
          <w:szCs w:val="20"/>
        </w:rPr>
        <w:t xml:space="preserve">SolarSense AI — DSE Track</w:t>
      </w:r>
    </w:p>
    <w:p>
      <w:pPr>
        <w:spacing w:before="0" w:after="80"/>
      </w:pPr>
      <w:r>
        <w:rPr>
          <w:rFonts w:ascii="Arial" w:cs="Arial" w:eastAsia="Arial" w:hAnsi="Arial"/>
          <w:b/>
          <w:bCs/>
          <w:color w:val="0F172A"/>
          <w:sz w:val="52"/>
          <w:szCs w:val="52"/>
        </w:rPr>
        <w:t xml:space="preserve">AI Integration Report</w:t>
      </w:r>
    </w:p>
    <w:p>
      <w:pPr>
        <w:spacing w:before="0" w:after="120"/>
      </w:pPr>
      <w:r>
        <w:rPr>
          <w:rFonts w:ascii="Arial" w:cs="Arial" w:eastAsia="Arial" w:hAnsi="Arial"/>
          <w:i/>
          <w:iCs/>
          <w:color w:val="0D9488"/>
          <w:sz w:val="24"/>
          <w:szCs w:val="24"/>
        </w:rPr>
        <w:t xml:space="preserve">Sections 3 – 6: AI/ML Models — Energy Consumption, Solar Generation, Financial ROI &amp; Recommendation Engine</w:t>
      </w:r>
    </w:p>
    <w:p>
      <w:pPr>
        <w:spacing w:before="0" w:after="80"/>
      </w:pPr>
      <w:r>
        <w:rPr>
          <w:rFonts w:ascii="Arial" w:cs="Arial" w:eastAsia="Arial" w:hAnsi="Arial"/>
          <w:color w:val="64748B"/>
          <w:sz w:val="20"/>
          <w:szCs w:val="20"/>
        </w:rPr>
        <w:t xml:space="preserve">Author (Lead): Tessa  |  Contributors: Bella (Model 4 base), Zainabu (Model 3 base), Abishag (Model 1 initial build)</w:t>
      </w:r>
    </w:p>
    <w:p>
      <w:pPr>
        <w:spacing w:before="0" w:after="120"/>
      </w:pPr>
      <w:r>
        <w:rPr>
          <w:rFonts w:ascii="Arial" w:cs="Arial" w:eastAsia="Arial" w:hAnsi="Arial"/>
          <w:color w:val="64748B"/>
          <w:sz w:val="20"/>
          <w:szCs w:val="20"/>
        </w:rPr>
        <w:t xml:space="preserve">Women in Tech Fellowship 2025/2026 — Class of 2026  |  February 2026</w:t>
      </w:r>
    </w:p>
    <w:p>
      <w:pPr>
        <w:pBdr>
          <w:bottom w:val="single" w:color="E2E8F0" w:sz="4" w:space="1"/>
        </w:pBdr>
        <w:spacing w:before="120" w:after="120"/>
      </w:pPr>
    </w:p>
    <w:p>
      <w:r>
        <w:br w:type="page"/>
      </w:r>
    </w:p>
    <w:p>
      <w:pPr>
        <w:pStyle w:val="Heading1"/>
        <w:spacing w:before="360" w:after="120"/>
      </w:pPr>
      <w:r>
        <w:rPr>
          <w:rFonts w:ascii="Arial" w:cs="Arial" w:eastAsia="Arial" w:hAnsi="Arial"/>
          <w:b/>
          <w:bCs/>
          <w:color w:val="0F172A"/>
          <w:sz w:val="32"/>
          <w:szCs w:val="32"/>
        </w:rPr>
        <w:t xml:space="preserve">Section 3: Model 1 — Energy Consumption Estimation</w:t>
      </w:r>
    </w:p>
    <w:p>
      <w:pPr>
        <w:spacing w:before="0" w:after="120"/>
      </w:pPr>
      <w:r>
        <w:rPr>
          <w:rFonts w:ascii="Arial" w:cs="Arial" w:eastAsia="Arial" w:hAnsi="Arial"/>
          <w:color w:val="334155"/>
          <w:sz w:val="22"/>
          <w:szCs w:val="22"/>
        </w:rPr>
        <w:t xml:space="preserve">This section documents how AI tools were integrated throughout the development, debugging, validation, and documentation of Model 1, which estimates monthly electricity consumption for African SMEs using a machine learning approach adapted from the US CBECS 2018 commercial buildings dataset.</w:t>
      </w:r>
    </w:p>
    <w:p>
      <w:pPr>
        <w:spacing w:before="80" w:after="80"/>
      </w:pPr>
      <w:r>
        <w:t xml:space="preserve"/>
      </w:r>
    </w:p>
    <w:p>
      <w:pPr>
        <w:pStyle w:val="Heading2"/>
        <w:spacing w:before="280" w:after="80"/>
      </w:pPr>
      <w:r>
        <w:rPr>
          <w:rFonts w:ascii="Arial" w:cs="Arial" w:eastAsia="Arial" w:hAnsi="Arial"/>
          <w:b/>
          <w:bCs/>
          <w:color w:val="0D9488"/>
          <w:sz w:val="26"/>
          <w:szCs w:val="26"/>
        </w:rPr>
        <w:t xml:space="preserve">3.1 Model Overview and Problem Context</w:t>
      </w:r>
    </w:p>
    <w:p>
      <w:pPr>
        <w:spacing w:before="0" w:after="120"/>
      </w:pPr>
      <w:r>
        <w:rPr>
          <w:rFonts w:ascii="Arial" w:cs="Arial" w:eastAsia="Arial" w:hAnsi="Arial"/>
          <w:color w:val="334155"/>
          <w:sz w:val="22"/>
          <w:szCs w:val="22"/>
        </w:rPr>
        <w:t xml:space="preserve">Model 1 solves a fundamental data problem: the majority of African SMEs — particularly food retail businesses in Nigeria, Ghana, and Kenya — do not have reliable electricity bills. They pay estimates, share meters with neighbours, or run primarily on diesel generators with no grid meter at all. The model replaces the bill entirely, estimating monthly consumption from observable business characteristics that any owner can answer in under 60 seconds.</w:t>
      </w:r>
    </w:p>
    <w:p>
      <w:pPr>
        <w:spacing w:before="0" w:after="120"/>
      </w:pPr>
      <w:r>
        <w:rPr>
          <w:rFonts w:ascii="Arial" w:cs="Arial" w:eastAsia="Arial" w:hAnsi="Arial"/>
          <w:color w:val="334155"/>
          <w:sz w:val="22"/>
          <w:szCs w:val="22"/>
        </w:rPr>
        <w:t xml:space="preserve">The model accepts five core inputs — business type, floor area (m²), weekly operating hours, number of refrigeration units, and city location — and returns an estimated monthly consumption figure in kWh, a confidence score, and a refrigeration vs. other equipment breakdown. Climate adjustment multipliers (Lagos 1.35×, Nairobi 1.20×, etc.) are applied post-prediction to correct for the additional cooling load tropical climates place on refrigeration equipment.</w:t>
      </w:r>
    </w:p>
    <w:p>
      <w:pPr>
        <w:spacing w:before="80" w:after="80"/>
      </w:pPr>
      <w:r>
        <w:t xml:space="preserve"/>
      </w:r>
    </w:p>
    <w:p>
      <w:pPr>
        <w:pStyle w:val="Heading2"/>
        <w:spacing w:before="280" w:after="80"/>
      </w:pPr>
      <w:r>
        <w:rPr>
          <w:rFonts w:ascii="Arial" w:cs="Arial" w:eastAsia="Arial" w:hAnsi="Arial"/>
          <w:b/>
          <w:bCs/>
          <w:color w:val="0D9488"/>
          <w:sz w:val="26"/>
          <w:szCs w:val="26"/>
        </w:rPr>
        <w:t xml:space="preserve">3.2 Dataset Decision and the Role of AI in the Pivot</w:t>
      </w:r>
    </w:p>
    <w:p>
      <w:pPr>
        <w:spacing w:before="0" w:after="120"/>
      </w:pPr>
      <w:r>
        <w:rPr>
          <w:rFonts w:ascii="Arial" w:cs="Arial" w:eastAsia="Arial" w:hAnsi="Arial"/>
          <w:color w:val="334155"/>
          <w:sz w:val="22"/>
          <w:szCs w:val="22"/>
        </w:rPr>
        <w:t xml:space="preserve">The initial approach used Abishag's Kaggle-sourced solar power dataset for Model 1. AI was used as a quality inspection tool at this stage: by feeding the alignment documents, problem statement, and model outputs to Claude, it became clear that the dataset was not meaningfully influencing model predictions — the AI's analysis of the output patterns flagged the disconnect between what the model was predicting and what an African SME energy consumption model should produce.</w:t>
      </w:r>
    </w:p>
    <w:p>
      <w:pPr>
        <w:spacing w:before="0" w:after="120"/>
      </w:pPr>
      <w:r>
        <w:rPr>
          <w:rFonts w:ascii="Arial" w:cs="Arial" w:eastAsia="Arial" w:hAnsi="Arial"/>
          <w:color w:val="334155"/>
          <w:sz w:val="22"/>
          <w:szCs w:val="22"/>
        </w:rPr>
        <w:t xml:space="preserve">This feedback prompted the pivot to the CBECS 2018 dataset. Claude was used to evaluate the feasibility of adapting a US commercial buildings dataset for African SME context — assessing the feature overlap, identifying the domain shift risks, and helping structure the three-step African adaptation pipeline: feature mapping, climate adjustment by city, and annual-to-monthly output conversion.</w:t>
      </w:r>
    </w:p>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D9488" w:sz="4"/>
              <w:left w:val="single" w:color="0D9488" w:sz="12"/>
              <w:bottom w:val="single" w:color="0D9488" w:sz="4"/>
              <w:right w:val="none"/>
            </w:tcBorders>
            <w:shd w:fill="F0FDFA" w:val="clear"/>
            <w:tcMar>
              <w:top w:type="dxa" w:w="100"/>
              <w:left w:type="dxa" w:w="180"/>
              <w:bottom w:type="dxa" w:w="100"/>
              <w:right w:type="dxa" w:w="140"/>
            </w:tcMar>
          </w:tcPr>
          <w:p>
            <w:r>
              <w:rPr>
                <w:rFonts w:ascii="Arial" w:cs="Arial" w:eastAsia="Arial" w:hAnsi="Arial"/>
                <w:b/>
                <w:bCs/>
                <w:color w:val="0D9488"/>
                <w:sz w:val="18"/>
                <w:szCs w:val="18"/>
              </w:rPr>
              <w:t xml:space="preserve">AI AS QUALITY INSPECTOR</w:t>
            </w:r>
          </w:p>
          <w:p>
            <w:r>
              <w:rPr>
                <w:rFonts w:ascii="Arial" w:cs="Arial" w:eastAsia="Arial" w:hAnsi="Arial"/>
                <w:color w:val="334155"/>
                <w:sz w:val="20"/>
                <w:szCs w:val="20"/>
              </w:rPr>
              <w:t xml:space="preserve">A key application of AI across the DSE was using Claude to analyse code and outputs against the alignment document and problem statement — without reading line by line. This 'quality inspection' workflow was standardised across the team and used to make go/no-go decisions on model approaches before significant development time was invested.</w:t>
            </w:r>
          </w:p>
        </w:tc>
      </w:tr>
    </w:tbl>
    <w:p>
      <w:pPr>
        <w:spacing w:before="160" w:after="160"/>
      </w:pPr>
      <w:r>
        <w:t xml:space="preserve"/>
      </w:r>
    </w:p>
    <w:p>
      <w:pPr>
        <w:pStyle w:val="Heading2"/>
        <w:spacing w:before="280" w:after="80"/>
      </w:pPr>
      <w:r>
        <w:rPr>
          <w:rFonts w:ascii="Arial" w:cs="Arial" w:eastAsia="Arial" w:hAnsi="Arial"/>
          <w:b/>
          <w:bCs/>
          <w:color w:val="0D9488"/>
          <w:sz w:val="26"/>
          <w:szCs w:val="26"/>
        </w:rPr>
        <w:t xml:space="preserve">3.3 Dataset Evolution and Retraining</w:t>
      </w:r>
    </w:p>
    <w:p>
      <w:pPr>
        <w:spacing w:before="0" w:after="120"/>
      </w:pPr>
      <w:r>
        <w:rPr>
          <w:rFonts w:ascii="Arial" w:cs="Arial" w:eastAsia="Arial" w:hAnsi="Arial"/>
          <w:color w:val="334155"/>
          <w:sz w:val="22"/>
          <w:szCs w:val="22"/>
        </w:rPr>
        <w:t xml:space="preserve">The CBECS 2018 dataset was initially filtered to food retail PBA codes, producing a training set of 294 rows. During robustness testing, anomalous equipment scaling behaviour was detected — specifically, a non-monotonic relationship between refrigeration unit count and predicted consumption. AI was used to diagnose the root cause: the training sample was too small and too narrowly filtered to support reliable equipment-level inference.</w:t>
      </w:r>
    </w:p>
    <w:p>
      <w:pPr>
        <w:spacing w:before="0" w:after="120"/>
      </w:pPr>
      <w:r>
        <w:rPr>
          <w:rFonts w:ascii="Arial" w:cs="Arial" w:eastAsia="Arial" w:hAnsi="Arial"/>
          <w:color w:val="334155"/>
          <w:sz w:val="22"/>
          <w:szCs w:val="22"/>
        </w:rPr>
        <w:t xml:space="preserve">Acting on this analysis, the PBA filter was expanded from 2 to 7 building codes (adding Convenience Store, Food/Drug Store, and Warehouse categories), increasing the training sample from 294 to 932 rows. A monotonic scaling constraint was added to enforce physical correctness. The retrained model produced equipment scaling that is now physically valid: 1 refrigeration unit → 47 kWh/month, 10 units → 640 kWh/month. Model performance improved to R² = 0.9812, MAPE = 9.38%.</w:t>
      </w:r>
    </w:p>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100"/>
      </w:tblGrid>
      <w:tr>
        <w:trPr>
          <w:tblHeader/>
        </w:trPr>
        <w:tc>
          <w:tcPr>
            <w:tcW w:type="dxa" w:w="2800"/>
            <w:tcBorders>
              <w:top w:val="single" w:color="CCCCCC" w:sz="1"/>
              <w:left w:val="single" w:color="CCCCCC" w:sz="1"/>
              <w:bottom w:val="single" w:color="CCCCCC" w:sz="1"/>
              <w:right w:val="single" w:color="CCCCCC" w:sz="1"/>
            </w:tcBorders>
            <w:shd w:fill="0D9488"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3100"/>
            <w:tcBorders>
              <w:top w:val="single" w:color="CCCCCC" w:sz="1"/>
              <w:left w:val="single" w:color="CCCCCC" w:sz="1"/>
              <w:bottom w:val="single" w:color="CCCCCC" w:sz="1"/>
              <w:right w:val="single" w:color="CCCCCC" w:sz="1"/>
            </w:tcBorders>
            <w:shd w:fill="0D9488" w:val="clear"/>
            <w:tcMar>
              <w:top w:type="dxa" w:w="100"/>
              <w:left w:type="dxa" w:w="140"/>
              <w:bottom w:type="dxa" w:w="100"/>
              <w:right w:type="dxa" w:w="140"/>
            </w:tcMar>
          </w:tcPr>
          <w:p>
            <w:r>
              <w:rPr>
                <w:rFonts w:ascii="Arial" w:cs="Arial" w:eastAsia="Arial" w:hAnsi="Arial"/>
                <w:b/>
                <w:bCs/>
                <w:color w:val="FFFFFF"/>
                <w:sz w:val="20"/>
                <w:szCs w:val="20"/>
              </w:rPr>
              <w:t xml:space="preserve">Initial Model (CBECS, narrow filter)</w:t>
            </w:r>
          </w:p>
        </w:tc>
        <w:tc>
          <w:tcPr>
            <w:tcW w:type="dxa" w:w="3100"/>
            <w:tcBorders>
              <w:top w:val="single" w:color="CCCCCC" w:sz="1"/>
              <w:left w:val="single" w:color="CCCCCC" w:sz="1"/>
              <w:bottom w:val="single" w:color="CCCCCC" w:sz="1"/>
              <w:right w:val="single" w:color="CCCCCC" w:sz="1"/>
            </w:tcBorders>
            <w:shd w:fill="0D9488" w:val="clear"/>
            <w:tcMar>
              <w:top w:type="dxa" w:w="100"/>
              <w:left w:type="dxa" w:w="140"/>
              <w:bottom w:type="dxa" w:w="100"/>
              <w:right w:type="dxa" w:w="140"/>
            </w:tcMar>
          </w:tcPr>
          <w:p>
            <w:r>
              <w:rPr>
                <w:rFonts w:ascii="Arial" w:cs="Arial" w:eastAsia="Arial" w:hAnsi="Arial"/>
                <w:b/>
                <w:bCs/>
                <w:color w:val="FFFFFF"/>
                <w:sz w:val="20"/>
                <w:szCs w:val="20"/>
              </w:rPr>
              <w:t xml:space="preserve">Retrained Model (expanded filter)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Training rows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294</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932</w:t>
            </w:r>
          </w:p>
        </w:tc>
      </w:tr>
      <w:tr>
        <w:tc>
          <w:tcPr>
            <w:tcW w:type="dxa" w:w="280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PBA codes</w:t>
            </w:r>
          </w:p>
        </w:tc>
        <w:tc>
          <w:tcPr>
            <w:tcW w:type="dxa" w:w="310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2</w:t>
            </w:r>
          </w:p>
        </w:tc>
        <w:tc>
          <w:tcPr>
            <w:tcW w:type="dxa" w:w="310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R²</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0.983</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0.9812</w:t>
            </w:r>
          </w:p>
        </w:tc>
      </w:tr>
      <w:tr>
        <w:tc>
          <w:tcPr>
            <w:tcW w:type="dxa" w:w="280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MAPE</w:t>
            </w:r>
          </w:p>
        </w:tc>
        <w:tc>
          <w:tcPr>
            <w:tcW w:type="dxa" w:w="310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14.52%</w:t>
            </w:r>
          </w:p>
        </w:tc>
        <w:tc>
          <w:tcPr>
            <w:tcW w:type="dxa" w:w="310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9.38%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Equipment scaling</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Non-monotonic (unrealistic)</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Monotonic (physically correct)</w:t>
            </w:r>
          </w:p>
        </w:tc>
      </w:tr>
      <w:tr>
        <w:tc>
          <w:tcPr>
            <w:tcW w:type="dxa" w:w="280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Fridge 1 → 10 range</w:t>
            </w:r>
          </w:p>
        </w:tc>
        <w:tc>
          <w:tcPr>
            <w:tcW w:type="dxa" w:w="310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Irregular</w:t>
            </w:r>
          </w:p>
        </w:tc>
        <w:tc>
          <w:tcPr>
            <w:tcW w:type="dxa" w:w="310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47 → 640 kWh/month</w:t>
            </w:r>
          </w:p>
        </w:tc>
      </w:tr>
    </w:tbl>
    <w:p>
      <w:pPr>
        <w:spacing w:before="80" w:after="80"/>
      </w:pPr>
      <w:r>
        <w:t xml:space="preserve"/>
      </w:r>
    </w:p>
    <w:p>
      <w:pPr>
        <w:spacing w:before="60" w:after="200"/>
        <w:jc w:val="center"/>
      </w:pPr>
      <w:r>
        <w:rPr>
          <w:rFonts w:ascii="Arial" w:cs="Arial" w:eastAsia="Arial" w:hAnsi="Arial"/>
          <w:i/>
          <w:iCs/>
          <w:color w:val="64748B"/>
          <w:sz w:val="18"/>
          <w:szCs w:val="18"/>
        </w:rPr>
        <w:t xml:space="preserve">Table 3.1: Model 1 performance comparison across dataset iterations</w:t>
      </w:r>
    </w:p>
    <w:p>
      <w:pPr>
        <w:spacing w:before="120" w:after="120"/>
      </w:pPr>
      <w:r>
        <w:t xml:space="preserve"/>
      </w:r>
    </w:p>
    <w:p>
      <w:pPr>
        <w:pStyle w:val="Heading2"/>
        <w:spacing w:before="280" w:after="80"/>
      </w:pPr>
      <w:r>
        <w:rPr>
          <w:rFonts w:ascii="Arial" w:cs="Arial" w:eastAsia="Arial" w:hAnsi="Arial"/>
          <w:b/>
          <w:bCs/>
          <w:color w:val="0D9488"/>
          <w:sz w:val="26"/>
          <w:szCs w:val="26"/>
        </w:rPr>
        <w:t xml:space="preserve">3.4 AI Tool Usage Across Model 1 Development</w:t>
      </w:r>
    </w:p>
    <w:p>
      <w:pPr>
        <w:pStyle w:val="Heading3"/>
        <w:spacing w:before="200" w:after="60"/>
      </w:pPr>
      <w:r>
        <w:rPr>
          <w:rFonts w:ascii="Arial" w:cs="Arial" w:eastAsia="Arial" w:hAnsi="Arial"/>
          <w:b/>
          <w:bCs/>
          <w:color w:val="334155"/>
          <w:sz w:val="22"/>
          <w:szCs w:val="22"/>
        </w:rPr>
        <w:t xml:space="preserve">3.4.1 Code Generation — Cursor and Claude</w:t>
      </w:r>
    </w:p>
    <w:p>
      <w:pPr>
        <w:spacing w:before="0" w:after="120"/>
      </w:pPr>
      <w:r>
        <w:rPr>
          <w:rFonts w:ascii="Arial" w:cs="Arial" w:eastAsia="Arial" w:hAnsi="Arial"/>
          <w:color w:val="334155"/>
          <w:sz w:val="22"/>
          <w:szCs w:val="22"/>
        </w:rPr>
        <w:t xml:space="preserve">Two distinct AI tools served different code generation roles for Model 1:</w:t>
      </w:r>
    </w:p>
    <w:p>
      <w:pPr>
        <w:pStyle w:val="ListParagraph"/>
        <w:numPr>
          <w:ilvl w:val="0"/>
          <w:numId w:val="2"/>
        </w:numPr>
        <w:spacing w:before="0" w:after="60"/>
      </w:pPr>
      <w:r>
        <w:rPr>
          <w:rFonts w:ascii="Arial" w:cs="Arial" w:eastAsia="Arial" w:hAnsi="Arial"/>
          <w:color w:val="334155"/>
          <w:sz w:val="22"/>
          <w:szCs w:val="22"/>
        </w:rPr>
        <w:t xml:space="preserve">Cursor AI was used for large-scale refactoring tasks requiring full codebase context — specifically the unification of three separate model branches (Models 1, 2, and 3) into a single deployment-ready Flask API architecture. This refactor was necessitated by Railway's deployment constraints and was a critical architectural decision. Cursor's large context window made it the correct tool for a multi-file, multi-step refactor where simultaneous awareness of all three model codebases was required.</w:t>
      </w:r>
    </w:p>
    <w:p>
      <w:pPr>
        <w:pStyle w:val="ListParagraph"/>
        <w:numPr>
          <w:ilvl w:val="0"/>
          <w:numId w:val="2"/>
        </w:numPr>
        <w:spacing w:before="0" w:after="60"/>
      </w:pPr>
      <w:r>
        <w:rPr>
          <w:rFonts w:ascii="Arial" w:cs="Arial" w:eastAsia="Arial" w:hAnsi="Arial"/>
          <w:color w:val="334155"/>
          <w:sz w:val="22"/>
          <w:szCs w:val="22"/>
        </w:rPr>
        <w:t xml:space="preserve">Claude was used for targeted code generation — Flask API endpoint scaffolding, security implementation (API key authentication, rate limiting, input/output validation, structured error handling), and African adaptation layer logic. These tasks required precision over breadth, and Claude's code generation was verified manually against the cybersecurity checklist and alignment documents before deployment.</w:t>
      </w:r>
    </w:p>
    <w:p>
      <w:pPr>
        <w:pStyle w:val="ListParagraph"/>
        <w:numPr>
          <w:ilvl w:val="0"/>
          <w:numId w:val="2"/>
        </w:numPr>
        <w:spacing w:before="0" w:after="60"/>
      </w:pPr>
      <w:r>
        <w:rPr>
          <w:rFonts w:ascii="Arial" w:cs="Arial" w:eastAsia="Arial" w:hAnsi="Arial"/>
          <w:color w:val="334155"/>
          <w:sz w:val="22"/>
          <w:szCs w:val="22"/>
        </w:rPr>
        <w:t xml:space="preserve">GitHub Copilot (VS Code) served as an inline suggestion layer for routine patterns — type annotations, docstrings, and standard Flask boilerplate — reducing friction on repetitive code without requiring context-switching to a separate tool.</w:t>
      </w:r>
    </w:p>
    <w:p>
      <w:pPr>
        <w:spacing w:before="80" w:after="80"/>
      </w:pPr>
      <w:r>
        <w:t xml:space="preserve"/>
      </w:r>
    </w:p>
    <w:p>
      <w:pPr>
        <w:pStyle w:val="Heading3"/>
        <w:spacing w:before="200" w:after="60"/>
      </w:pPr>
      <w:r>
        <w:rPr>
          <w:rFonts w:ascii="Arial" w:cs="Arial" w:eastAsia="Arial" w:hAnsi="Arial"/>
          <w:b/>
          <w:bCs/>
          <w:color w:val="334155"/>
          <w:sz w:val="22"/>
          <w:szCs w:val="22"/>
        </w:rPr>
        <w:t xml:space="preserve">3.4.2 Debugging Workflow</w:t>
      </w:r>
    </w:p>
    <w:p>
      <w:pPr>
        <w:spacing w:before="0" w:after="120"/>
      </w:pPr>
      <w:r>
        <w:rPr>
          <w:rFonts w:ascii="Arial" w:cs="Arial" w:eastAsia="Arial" w:hAnsi="Arial"/>
          <w:color w:val="334155"/>
          <w:sz w:val="22"/>
          <w:szCs w:val="22"/>
        </w:rPr>
        <w:t xml:space="preserve">The debugging process for Model 1 followed a consistent pattern throughout development: when anomalous behaviour was detected (incorrect outputs, failed tests, unexpected validation rejections), logs and relevant code segments were provided to Claude with a description of expected vs. actual behaviour. Claude would generate a hypothesis, propose a fix, and the fix would be implemented and validated against real outputs. Where Claude's suggestion was not feasible — due to descoped features, alignment constraints, or environmental specifics — the prompt would be refined with those constraints explicitly stated.</w:t>
      </w:r>
    </w:p>
    <w:p>
      <w:pPr>
        <w:spacing w:before="0" w:after="120"/>
      </w:pPr>
      <w:r>
        <w:rPr>
          <w:rFonts w:ascii="Arial" w:cs="Arial" w:eastAsia="Arial" w:hAnsi="Arial"/>
          <w:color w:val="334155"/>
          <w:sz w:val="22"/>
          <w:szCs w:val="22"/>
        </w:rPr>
        <w:t xml:space="preserve">This iterative loop — output → implement → review → re-prompt — was faster than manual code review for all bugs encountered. The most significant time saving was in diagnosing the equipment scaling non-monotonicity: what would have required manually tracing through training data, feature engineering code, and prediction outputs was reduced to a focused AI-assisted analysis session.</w:t>
      </w:r>
    </w:p>
    <w:p>
      <w:pPr>
        <w:spacing w:before="80" w:after="80"/>
      </w:pPr>
      <w:r>
        <w:t xml:space="preserve"/>
      </w:r>
    </w:p>
    <w:p>
      <w:pPr>
        <w:pStyle w:val="Heading3"/>
        <w:spacing w:before="200" w:after="60"/>
      </w:pPr>
      <w:r>
        <w:rPr>
          <w:rFonts w:ascii="Arial" w:cs="Arial" w:eastAsia="Arial" w:hAnsi="Arial"/>
          <w:b/>
          <w:bCs/>
          <w:color w:val="334155"/>
          <w:sz w:val="22"/>
          <w:szCs w:val="22"/>
        </w:rPr>
        <w:t xml:space="preserve">3.4.3 Documentation</w:t>
      </w:r>
    </w:p>
    <w:p>
      <w:pPr>
        <w:spacing w:before="0" w:after="120"/>
      </w:pPr>
      <w:r>
        <w:rPr>
          <w:rFonts w:ascii="Arial" w:cs="Arial" w:eastAsia="Arial" w:hAnsi="Arial"/>
          <w:color w:val="334155"/>
          <w:sz w:val="22"/>
          <w:szCs w:val="22"/>
        </w:rPr>
        <w:t xml:space="preserve">All Model 1 documentation was produced by the DSE lead using Claude as a drafting tool. The workflow was consistent across all documents: relevant information (logs, code, alignment docs, README files, API contracts) was provided as context, the task was described, and Claude produced a draft. The DSE lead then reviewed, corrected, and refined the output — catching any references to descoped features, hallucinated API fields, or mischaracterised model behaviour.</w:t>
      </w:r>
    </w:p>
    <w:p>
      <w:pPr>
        <w:spacing w:before="0" w:after="120"/>
      </w:pPr>
      <w:r>
        <w:rPr>
          <w:rFonts w:ascii="Arial" w:cs="Arial" w:eastAsia="Arial" w:hAnsi="Arial"/>
          <w:color w:val="334155"/>
          <w:sz w:val="22"/>
          <w:szCs w:val="22"/>
        </w:rPr>
        <w:t xml:space="preserve">Documents produced for Model 1 using this workflow included:</w:t>
      </w:r>
    </w:p>
    <w:p>
      <w:pPr>
        <w:pStyle w:val="ListParagraph"/>
        <w:numPr>
          <w:ilvl w:val="0"/>
          <w:numId w:val="2"/>
        </w:numPr>
        <w:spacing w:before="0" w:after="60"/>
      </w:pPr>
      <w:r>
        <w:rPr>
          <w:rFonts w:ascii="Arial" w:cs="Arial" w:eastAsia="Arial" w:hAnsi="Arial"/>
          <w:color w:val="334155"/>
          <w:sz w:val="22"/>
          <w:szCs w:val="22"/>
        </w:rPr>
        <w:t xml:space="preserve">API contract (request/response schema, error codes, integration guide) for backend handoff to Sarah</w:t>
      </w:r>
    </w:p>
    <w:p>
      <w:pPr>
        <w:pStyle w:val="ListParagraph"/>
        <w:numPr>
          <w:ilvl w:val="0"/>
          <w:numId w:val="2"/>
        </w:numPr>
        <w:spacing w:before="0" w:after="60"/>
      </w:pPr>
      <w:r>
        <w:rPr>
          <w:rFonts w:ascii="Arial" w:cs="Arial" w:eastAsia="Arial" w:hAnsi="Arial"/>
          <w:color w:val="334155"/>
          <w:sz w:val="22"/>
          <w:szCs w:val="22"/>
        </w:rPr>
        <w:t xml:space="preserve">Model Card documenting training approach, feature set, performance metrics, and known limitations</w:t>
      </w:r>
    </w:p>
    <w:p>
      <w:pPr>
        <w:pStyle w:val="ListParagraph"/>
        <w:numPr>
          <w:ilvl w:val="0"/>
          <w:numId w:val="2"/>
        </w:numPr>
        <w:spacing w:before="0" w:after="60"/>
      </w:pPr>
      <w:r>
        <w:rPr>
          <w:rFonts w:ascii="Arial" w:cs="Arial" w:eastAsia="Arial" w:hAnsi="Arial"/>
          <w:color w:val="334155"/>
          <w:sz w:val="22"/>
          <w:szCs w:val="22"/>
        </w:rPr>
        <w:t xml:space="preserve">African Climate Adjustment Factor Justification — scientific basis for climate multipliers citing ASHRAE Standard 169, IRENA Africa solar reports, and peer-reviewed literature on tropical cooling load</w:t>
      </w:r>
    </w:p>
    <w:p>
      <w:pPr>
        <w:pStyle w:val="ListParagraph"/>
        <w:numPr>
          <w:ilvl w:val="0"/>
          <w:numId w:val="2"/>
        </w:numPr>
        <w:spacing w:before="0" w:after="60"/>
      </w:pPr>
      <w:r>
        <w:rPr>
          <w:rFonts w:ascii="Arial" w:cs="Arial" w:eastAsia="Arial" w:hAnsi="Arial"/>
          <w:color w:val="334155"/>
          <w:sz w:val="22"/>
          <w:szCs w:val="22"/>
        </w:rPr>
        <w:t xml:space="preserve">CBECS-to-Africa Adaptation Methodology write-up — documenting feature mapping decisions, domain shift analysis, and generalisability limitations</w:t>
      </w:r>
    </w:p>
    <w:p>
      <w:pPr>
        <w:pStyle w:val="ListParagraph"/>
        <w:numPr>
          <w:ilvl w:val="0"/>
          <w:numId w:val="2"/>
        </w:numPr>
        <w:spacing w:before="0" w:after="60"/>
      </w:pPr>
      <w:r>
        <w:rPr>
          <w:rFonts w:ascii="Arial" w:cs="Arial" w:eastAsia="Arial" w:hAnsi="Arial"/>
          <w:color w:val="334155"/>
          <w:sz w:val="22"/>
          <w:szCs w:val="22"/>
        </w:rPr>
        <w:t xml:space="preserve">Robustness testing report (Model 1 suite v1.1 — 77/77 tests passing across 13 categories)</w:t>
      </w:r>
    </w:p>
    <w:p>
      <w:pPr>
        <w:spacing w:before="80" w:after="80"/>
      </w:pPr>
      <w:r>
        <w:t xml:space="preserve"/>
      </w:r>
    </w:p>
    <w:p>
      <w:pPr>
        <w:pStyle w:val="Heading2"/>
        <w:spacing w:before="280" w:after="80"/>
      </w:pPr>
      <w:r>
        <w:rPr>
          <w:rFonts w:ascii="Arial" w:cs="Arial" w:eastAsia="Arial" w:hAnsi="Arial"/>
          <w:b/>
          <w:bCs/>
          <w:color w:val="0D9488"/>
          <w:sz w:val="26"/>
          <w:szCs w:val="26"/>
        </w:rPr>
        <w:t xml:space="preserve">3.5 Robustness Testing with AI Support</w:t>
      </w:r>
    </w:p>
    <w:p>
      <w:pPr>
        <w:spacing w:before="0" w:after="120"/>
      </w:pPr>
      <w:r>
        <w:rPr>
          <w:rFonts w:ascii="Arial" w:cs="Arial" w:eastAsia="Arial" w:hAnsi="Arial"/>
          <w:color w:val="334155"/>
          <w:sz w:val="22"/>
          <w:szCs w:val="22"/>
        </w:rPr>
        <w:t xml:space="preserve">The Model 1 robustness test suite was designed with AI assistance — Claude was used to generate edge case categories, suggest boundary input values, and help structure the failure mode documentation format. The 13 test categories included extreme equipment counts, unusual operating hours, boundary coordinates, missing optional fields, and climate zone edge cases.</w:t>
      </w:r>
    </w:p>
    <w:p>
      <w:pPr>
        <w:spacing w:before="0" w:after="120"/>
      </w:pPr>
      <w:r>
        <w:rPr>
          <w:rFonts w:ascii="Arial" w:cs="Arial" w:eastAsia="Arial" w:hAnsi="Arial"/>
          <w:color w:val="334155"/>
          <w:sz w:val="22"/>
          <w:szCs w:val="22"/>
        </w:rPr>
        <w:t xml:space="preserve">Where tests failed or produced unexpected results, AI was used to help diagnose whether the behaviour represented a genuine model limitation or a bug. One confirmed limitation (Known Limitation L1 — operating hours non-monotonicity at extreme values) was identified through this process and documented rather than fixed, as it represents an inherent property of the training data distribution rather than a correctable code defect.</w:t>
      </w:r>
    </w:p>
    <w:p>
      <w:pPr>
        <w:spacing w:before="80" w:after="80"/>
      </w:pPr>
      <w:r>
        <w:t xml:space="preserve"/>
      </w:r>
    </w:p>
    <w:p>
      <w:pPr>
        <w:pStyle w:val="Heading2"/>
        <w:spacing w:before="280" w:after="80"/>
      </w:pPr>
      <w:r>
        <w:rPr>
          <w:rFonts w:ascii="Arial" w:cs="Arial" w:eastAsia="Arial" w:hAnsi="Arial"/>
          <w:b/>
          <w:bCs/>
          <w:color w:val="0D9488"/>
          <w:sz w:val="26"/>
          <w:szCs w:val="26"/>
        </w:rPr>
        <w:t xml:space="preserve">3.6 Time Saved Estimates — Model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000"/>
        <w:gridCol w:w="2160"/>
      </w:tblGrid>
      <w:tr>
        <w:trPr>
          <w:tblHeader/>
        </w:trPr>
        <w:tc>
          <w:tcPr>
            <w:tcW w:type="dxa" w:w="3000"/>
            <w:tcBorders>
              <w:top w:val="single" w:color="CCCCCC" w:sz="1"/>
              <w:left w:val="single" w:color="CCCCCC" w:sz="1"/>
              <w:bottom w:val="single" w:color="CCCCCC" w:sz="1"/>
              <w:right w:val="single" w:color="CCCCCC" w:sz="1"/>
            </w:tcBorders>
            <w:shd w:fill="0D9488"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2200"/>
            <w:tcBorders>
              <w:top w:val="single" w:color="CCCCCC" w:sz="1"/>
              <w:left w:val="single" w:color="CCCCCC" w:sz="1"/>
              <w:bottom w:val="single" w:color="CCCCCC" w:sz="1"/>
              <w:right w:val="single" w:color="CCCCCC" w:sz="1"/>
            </w:tcBorders>
            <w:shd w:fill="0D9488" w:val="clear"/>
            <w:tcMar>
              <w:top w:type="dxa" w:w="100"/>
              <w:left w:type="dxa" w:w="140"/>
              <w:bottom w:type="dxa" w:w="100"/>
              <w:right w:type="dxa" w:w="140"/>
            </w:tcMar>
          </w:tcPr>
          <w:p>
            <w:r>
              <w:rPr>
                <w:rFonts w:ascii="Arial" w:cs="Arial" w:eastAsia="Arial" w:hAnsi="Arial"/>
                <w:b/>
                <w:bCs/>
                <w:color w:val="FFFFFF"/>
                <w:sz w:val="20"/>
                <w:szCs w:val="20"/>
              </w:rPr>
              <w:t xml:space="preserve">Estimated Manual Time</w:t>
            </w:r>
          </w:p>
        </w:tc>
        <w:tc>
          <w:tcPr>
            <w:tcW w:type="dxa" w:w="2000"/>
            <w:tcBorders>
              <w:top w:val="single" w:color="CCCCCC" w:sz="1"/>
              <w:left w:val="single" w:color="CCCCCC" w:sz="1"/>
              <w:bottom w:val="single" w:color="CCCCCC" w:sz="1"/>
              <w:right w:val="single" w:color="CCCCCC" w:sz="1"/>
            </w:tcBorders>
            <w:shd w:fill="0D9488" w:val="clear"/>
            <w:tcMar>
              <w:top w:type="dxa" w:w="100"/>
              <w:left w:type="dxa" w:w="140"/>
              <w:bottom w:type="dxa" w:w="100"/>
              <w:right w:type="dxa" w:w="140"/>
            </w:tcMar>
          </w:tcPr>
          <w:p>
            <w:r>
              <w:rPr>
                <w:rFonts w:ascii="Arial" w:cs="Arial" w:eastAsia="Arial" w:hAnsi="Arial"/>
                <w:b/>
                <w:bCs/>
                <w:color w:val="FFFFFF"/>
                <w:sz w:val="20"/>
                <w:szCs w:val="20"/>
              </w:rPr>
              <w:t xml:space="preserve">AI-Assisted Time</w:t>
            </w:r>
          </w:p>
        </w:tc>
        <w:tc>
          <w:tcPr>
            <w:tcW w:type="dxa" w:w="2160"/>
            <w:tcBorders>
              <w:top w:val="single" w:color="CCCCCC" w:sz="1"/>
              <w:left w:val="single" w:color="CCCCCC" w:sz="1"/>
              <w:bottom w:val="single" w:color="CCCCCC" w:sz="1"/>
              <w:right w:val="single" w:color="CCCCCC" w:sz="1"/>
            </w:tcBorders>
            <w:shd w:fill="0D9488" w:val="clear"/>
            <w:tcMar>
              <w:top w:type="dxa" w:w="100"/>
              <w:left w:type="dxa" w:w="140"/>
              <w:bottom w:type="dxa" w:w="100"/>
              <w:right w:type="dxa" w:w="140"/>
            </w:tcMar>
          </w:tcPr>
          <w:p>
            <w:r>
              <w:rPr>
                <w:rFonts w:ascii="Arial" w:cs="Arial" w:eastAsia="Arial" w:hAnsi="Arial"/>
                <w:b/>
                <w:bCs/>
                <w:color w:val="FFFFFF"/>
                <w:sz w:val="20"/>
                <w:szCs w:val="20"/>
              </w:rPr>
              <w:t xml:space="preserve">Time Saved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Dataset pivot analysis and validation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4–6 hours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~1 hour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~80%</w:t>
            </w:r>
          </w:p>
        </w:tc>
      </w:tr>
      <w:tr>
        <w:tc>
          <w:tcPr>
            <w:tcW w:type="dxa" w:w="300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CBECS feature engineering and adaptation layer</w:t>
            </w:r>
          </w:p>
        </w:tc>
        <w:tc>
          <w:tcPr>
            <w:tcW w:type="dxa" w:w="220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6–8 hours</w:t>
            </w:r>
          </w:p>
        </w:tc>
        <w:tc>
          <w:tcPr>
            <w:tcW w:type="dxa" w:w="200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2–3 hours</w:t>
            </w:r>
          </w:p>
        </w:tc>
        <w:tc>
          <w:tcPr>
            <w:tcW w:type="dxa" w:w="216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~65%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Equipment scaling bug diagnosis and fix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3–5 hours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~1 hour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~75%</w:t>
            </w:r>
          </w:p>
        </w:tc>
      </w:tr>
      <w:tr>
        <w:tc>
          <w:tcPr>
            <w:tcW w:type="dxa" w:w="300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API contract and model card documentation</w:t>
            </w:r>
          </w:p>
        </w:tc>
        <w:tc>
          <w:tcPr>
            <w:tcW w:type="dxa" w:w="220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3–4 hours</w:t>
            </w:r>
          </w:p>
        </w:tc>
        <w:tc>
          <w:tcPr>
            <w:tcW w:type="dxa" w:w="200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1–1.5 hours</w:t>
            </w:r>
          </w:p>
        </w:tc>
        <w:tc>
          <w:tcPr>
            <w:tcW w:type="dxa" w:w="216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~65%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Climate justification document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5–8 hours (research + write)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1.5–2 hours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~75%</w:t>
            </w:r>
          </w:p>
        </w:tc>
      </w:tr>
      <w:tr>
        <w:tc>
          <w:tcPr>
            <w:tcW w:type="dxa" w:w="300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CBECS adaptation methodology doc</w:t>
            </w:r>
          </w:p>
        </w:tc>
        <w:tc>
          <w:tcPr>
            <w:tcW w:type="dxa" w:w="220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4–6 hours</w:t>
            </w:r>
          </w:p>
        </w:tc>
        <w:tc>
          <w:tcPr>
            <w:tcW w:type="dxa" w:w="200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~1.5 hours</w:t>
            </w:r>
          </w:p>
        </w:tc>
        <w:tc>
          <w:tcPr>
            <w:tcW w:type="dxa" w:w="216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~70%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Robustness test suite design and documentation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4–5 hours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1.5–2 hours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~65%</w:t>
            </w:r>
          </w:p>
        </w:tc>
      </w:tr>
    </w:tbl>
    <w:p>
      <w:pPr>
        <w:spacing w:before="80" w:after="80"/>
      </w:pPr>
      <w:r>
        <w:t xml:space="preserve"/>
      </w:r>
    </w:p>
    <w:p>
      <w:pPr>
        <w:spacing w:before="60" w:after="200"/>
        <w:jc w:val="center"/>
      </w:pPr>
      <w:r>
        <w:rPr>
          <w:rFonts w:ascii="Arial" w:cs="Arial" w:eastAsia="Arial" w:hAnsi="Arial"/>
          <w:i/>
          <w:iCs/>
          <w:color w:val="64748B"/>
          <w:sz w:val="18"/>
          <w:szCs w:val="18"/>
        </w:rPr>
        <w:t xml:space="preserve">Table 3.2: Model 1 estimated time savings from AI-assisted workflows</w:t>
      </w:r>
    </w:p>
    <w:p>
      <w:pPr>
        <w:spacing w:before="120" w:after="120"/>
      </w:pPr>
      <w:r>
        <w:t xml:space="preserve"/>
      </w:r>
    </w:p>
    <w:p>
      <w:pPr>
        <w:pStyle w:val="Heading2"/>
        <w:spacing w:before="280" w:after="80"/>
      </w:pPr>
      <w:r>
        <w:rPr>
          <w:rFonts w:ascii="Arial" w:cs="Arial" w:eastAsia="Arial" w:hAnsi="Arial"/>
          <w:b/>
          <w:bCs/>
          <w:color w:val="0D9488"/>
          <w:sz w:val="26"/>
          <w:szCs w:val="26"/>
        </w:rPr>
        <w:t xml:space="preserve">3.7 Accuracy Trade-offs and Limitations</w:t>
      </w:r>
    </w:p>
    <w:p>
      <w:pPr>
        <w:spacing w:before="0" w:after="120"/>
      </w:pPr>
      <w:r>
        <w:rPr>
          <w:rFonts w:ascii="Arial" w:cs="Arial" w:eastAsia="Arial" w:hAnsi="Arial"/>
          <w:color w:val="334155"/>
          <w:sz w:val="22"/>
          <w:szCs w:val="22"/>
        </w:rPr>
        <w:t xml:space="preserve">AI assistance in Model 1 introduced specific accuracy risks that required active management:</w:t>
      </w:r>
    </w:p>
    <w:p>
      <w:pPr>
        <w:pStyle w:val="ListParagraph"/>
        <w:numPr>
          <w:ilvl w:val="0"/>
          <w:numId w:val="2"/>
        </w:numPr>
        <w:spacing w:before="0" w:after="60"/>
      </w:pPr>
      <w:r>
        <w:rPr>
          <w:rFonts w:ascii="Arial" w:cs="Arial" w:eastAsia="Arial" w:hAnsi="Arial"/>
          <w:color w:val="334155"/>
          <w:sz w:val="22"/>
          <w:szCs w:val="22"/>
        </w:rPr>
        <w:t xml:space="preserve">Hallucination of descoped features: Claude would occasionally reference payback period calculations, features that had been removed in alignment updates, or API fields that did not exist in the actual implementation. Every document required a verification pass specifically checking for these.</w:t>
      </w:r>
    </w:p>
    <w:p>
      <w:pPr>
        <w:pStyle w:val="ListParagraph"/>
        <w:numPr>
          <w:ilvl w:val="0"/>
          <w:numId w:val="2"/>
        </w:numPr>
        <w:spacing w:before="0" w:after="60"/>
      </w:pPr>
      <w:r>
        <w:rPr>
          <w:rFonts w:ascii="Arial" w:cs="Arial" w:eastAsia="Arial" w:hAnsi="Arial"/>
          <w:color w:val="334155"/>
          <w:sz w:val="22"/>
          <w:szCs w:val="22"/>
        </w:rPr>
        <w:t xml:space="preserve">Incorrect prompt implementation: Claude would sometimes implement a prompt partially or interpret it differently than intended, requiring follow-up prompts with explicit corrections. The more specific and constrained the prompt, the more reliable the output.</w:t>
      </w:r>
    </w:p>
    <w:p>
      <w:pPr>
        <w:pStyle w:val="ListParagraph"/>
        <w:numPr>
          <w:ilvl w:val="0"/>
          <w:numId w:val="2"/>
        </w:numPr>
        <w:spacing w:before="0" w:after="60"/>
      </w:pPr>
      <w:r>
        <w:rPr>
          <w:rFonts w:ascii="Arial" w:cs="Arial" w:eastAsia="Arial" w:hAnsi="Arial"/>
          <w:color w:val="334155"/>
          <w:sz w:val="22"/>
          <w:szCs w:val="22"/>
        </w:rPr>
        <w:t xml:space="preserve">Training data assumptions: AI could not access the actual CBECS dataset during analysis — it worked from descriptions, outputs, and code provided in context. Domain knowledge about African SME energy patterns had to be injected manually into the prompts; AI could not derive these from first principles.</w:t>
      </w:r>
    </w:p>
    <w:p>
      <w:pPr>
        <w:spacing w:before="80" w:after="80"/>
      </w:pPr>
      <w:r>
        <w:t xml:space="preserve"/>
      </w:r>
    </w:p>
    <w:p>
      <w:pPr>
        <w:pBdr>
          <w:bottom w:val="single" w:color="E2E8F0" w:sz="4" w:space="1"/>
        </w:pBdr>
        <w:spacing w:before="120" w:after="120"/>
      </w:pPr>
    </w:p>
    <w:p>
      <w:r>
        <w:br w:type="page"/>
      </w:r>
    </w:p>
    <w:p>
      <w:pPr>
        <w:pStyle w:val="Heading1"/>
        <w:spacing w:before="360" w:after="120"/>
      </w:pPr>
      <w:r>
        <w:rPr>
          <w:rFonts w:ascii="Arial" w:cs="Arial" w:eastAsia="Arial" w:hAnsi="Arial"/>
          <w:b/>
          <w:bCs/>
          <w:color w:val="0F172A"/>
          <w:sz w:val="32"/>
          <w:szCs w:val="32"/>
        </w:rPr>
        <w:t xml:space="preserve">Section 4: Model 2 — Solar Generation Prediction</w:t>
      </w:r>
    </w:p>
    <w:p>
      <w:pPr>
        <w:spacing w:before="0" w:after="120"/>
      </w:pPr>
      <w:r>
        <w:rPr>
          <w:rFonts w:ascii="Arial" w:cs="Arial" w:eastAsia="Arial" w:hAnsi="Arial"/>
          <w:color w:val="334155"/>
          <w:sz w:val="22"/>
          <w:szCs w:val="22"/>
        </w:rPr>
        <w:t xml:space="preserve">Model 2 is the DSE lead's primary model — built, trained, debugged, retrained, and deployed entirely by Tessa. It predicts daily solar generation (kWh/day) for a 10m², 20%-efficiency reference panel system at any location within Sub-Saharan Africa, for any given month. It also produces a 25-year lifetime projection with degradation modelling and confidence bands.</w:t>
      </w:r>
    </w:p>
    <w:p>
      <w:pPr>
        <w:spacing w:before="0" w:after="120"/>
      </w:pPr>
      <w:r>
        <w:rPr>
          <w:rFonts w:ascii="Arial" w:cs="Arial" w:eastAsia="Arial" w:hAnsi="Arial"/>
          <w:color w:val="334155"/>
          <w:sz w:val="22"/>
          <w:szCs w:val="22"/>
        </w:rPr>
        <w:t xml:space="preserve">This section documents AI tool usage across the full development lifecycle of Model 2, including a critical multi-session debugging episode that exemplifies the AI-human collaboration model used throughout the project.</w:t>
      </w:r>
    </w:p>
    <w:p>
      <w:pPr>
        <w:spacing w:before="80" w:after="80"/>
      </w:pPr>
      <w:r>
        <w:t xml:space="preserve"/>
      </w:r>
    </w:p>
    <w:p>
      <w:pPr>
        <w:pStyle w:val="Heading2"/>
        <w:spacing w:before="280" w:after="80"/>
      </w:pPr>
      <w:r>
        <w:rPr>
          <w:rFonts w:ascii="Arial" w:cs="Arial" w:eastAsia="Arial" w:hAnsi="Arial"/>
          <w:b/>
          <w:bCs/>
          <w:color w:val="0D9488"/>
          <w:sz w:val="26"/>
          <w:szCs w:val="26"/>
        </w:rPr>
        <w:t xml:space="preserve">4.1 Model Architecture and Training</w:t>
      </w:r>
    </w:p>
    <w:p>
      <w:pPr>
        <w:spacing w:before="0" w:after="120"/>
      </w:pPr>
      <w:r>
        <w:rPr>
          <w:rFonts w:ascii="Arial" w:cs="Arial" w:eastAsia="Arial" w:hAnsi="Arial"/>
          <w:color w:val="334155"/>
          <w:sz w:val="22"/>
          <w:szCs w:val="22"/>
        </w:rPr>
        <w:t xml:space="preserve">Model 2 uses an XGBoost regressor trained on NASA POWER satellite irradiance data (Global Horizontal Irradiance) across Sub-Saharan African cities. The training approach evolved through two major iterations:</w:t>
      </w:r>
    </w:p>
    <w:p>
      <w:pPr>
        <w:spacing w:before="80" w:after="80"/>
      </w:pPr>
      <w:r>
        <w:t xml:space="preserve"/>
      </w:r>
    </w:p>
    <w:p>
      <w:pPr>
        <w:pStyle w:val="Heading3"/>
        <w:spacing w:before="200" w:after="60"/>
      </w:pPr>
      <w:r>
        <w:rPr>
          <w:rFonts w:ascii="Arial" w:cs="Arial" w:eastAsia="Arial" w:hAnsi="Arial"/>
          <w:b/>
          <w:bCs/>
          <w:color w:val="334155"/>
          <w:sz w:val="22"/>
          <w:szCs w:val="22"/>
        </w:rPr>
        <w:t xml:space="preserve">4.1.1 Initial Model and Data Leakage Discovery</w:t>
      </w:r>
    </w:p>
    <w:p>
      <w:pPr>
        <w:spacing w:before="0" w:after="120"/>
      </w:pPr>
      <w:r>
        <w:rPr>
          <w:rFonts w:ascii="Arial" w:cs="Arial" w:eastAsia="Arial" w:hAnsi="Arial"/>
          <w:color w:val="334155"/>
          <w:sz w:val="22"/>
          <w:szCs w:val="22"/>
        </w:rPr>
        <w:t xml:space="preserve">The initial XGBoost baseline predicted daily kWh/kW from raw GHI and temperature data, achieving an unrealistically low MAPE of 0.42%. AI was used to evaluate this result against domain expectations — the value was immediately flagged as suspicious. Claude's analysis identified the root cause: the model was being trained on weather forecasting features that would not be available at inference time, constituting data leakage.</w:t>
      </w:r>
    </w:p>
    <w:p>
      <w:pPr>
        <w:spacing w:before="0" w:after="120"/>
      </w:pPr>
      <w:r>
        <w:rPr>
          <w:rFonts w:ascii="Arial" w:cs="Arial" w:eastAsia="Arial" w:hAnsi="Arial"/>
          <w:color w:val="334155"/>
          <w:sz w:val="22"/>
          <w:szCs w:val="22"/>
        </w:rPr>
        <w:t xml:space="preserve">This diagnosis prompted the fundamental architectural pivot to climatological monthly averages — predicting typical generation for a given location and month rather than instantaneous generation from weather inputs. This decision, reached through AI-assisted analysis rather than trial and error, was the correct architectural choice for a viability assessment tool.</w:t>
      </w:r>
    </w:p>
    <w:p>
      <w:pPr>
        <w:spacing w:before="80" w:after="80"/>
      </w:pPr>
      <w:r>
        <w:t xml:space="preserve"/>
      </w:r>
    </w:p>
    <w:p>
      <w:pPr>
        <w:pStyle w:val="Heading3"/>
        <w:spacing w:before="200" w:after="60"/>
      </w:pPr>
      <w:r>
        <w:rPr>
          <w:rFonts w:ascii="Arial" w:cs="Arial" w:eastAsia="Arial" w:hAnsi="Arial"/>
          <w:b/>
          <w:bCs/>
          <w:color w:val="334155"/>
          <w:sz w:val="22"/>
          <w:szCs w:val="22"/>
        </w:rPr>
        <w:t xml:space="preserve">4.1.2 Retraining — 20 Cities, 4 Years</w:t>
      </w:r>
    </w:p>
    <w:p>
      <w:pPr>
        <w:spacing w:before="0" w:after="120"/>
      </w:pPr>
      <w:r>
        <w:rPr>
          <w:rFonts w:ascii="Arial" w:cs="Arial" w:eastAsia="Arial" w:hAnsi="Arial"/>
          <w:color w:val="334155"/>
          <w:sz w:val="22"/>
          <w:szCs w:val="22"/>
        </w:rPr>
        <w:t xml:space="preserve">The initial retrained model used data from 5 SSA cities over 2 years. During robustness testing and cross-city validation, MAPE was 13.68%. AI was used to structure the analysis of where prediction error was highest and to identify which cities or climate types were underrepresented. Acting on this analysis, the training data was expanded to 20 SSA cities over 4 years (adding Abuja, Dakar, Addis Ababa, Maputo, Kinshasa, and others). MAPE improved to 11.41%. Cape Town was documented as Known Limitation L6 (25.2% MAPE) due to its Mediterranean climate being fundamentally distinct from the tropical/semi-arid SSA climate the model was trained for.</w:t>
      </w:r>
    </w:p>
    <w:p>
      <w:pPr>
        <w:spacing w:before="80" w:after="8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900"/>
        <w:gridCol w:w="1500"/>
        <w:gridCol w:w="3060"/>
      </w:tblGrid>
      <w:tr>
        <w:trPr>
          <w:tblHeader/>
        </w:trPr>
        <w:tc>
          <w:tcPr>
            <w:tcW w:type="dxa" w:w="2100"/>
            <w:tcBorders>
              <w:top w:val="single" w:color="CCCCCC" w:sz="1"/>
              <w:left w:val="single" w:color="CCCCCC" w:sz="1"/>
              <w:bottom w:val="single" w:color="CCCCCC" w:sz="1"/>
              <w:right w:val="single" w:color="CCCCCC" w:sz="1"/>
            </w:tcBorders>
            <w:shd w:fill="0D9488" w:val="clear"/>
            <w:tcMar>
              <w:top w:type="dxa" w:w="100"/>
              <w:left w:type="dxa" w:w="140"/>
              <w:bottom w:type="dxa" w:w="100"/>
              <w:right w:type="dxa" w:w="140"/>
            </w:tcMar>
          </w:tcPr>
          <w:p>
            <w:r>
              <w:rPr>
                <w:rFonts w:ascii="Arial" w:cs="Arial" w:eastAsia="Arial" w:hAnsi="Arial"/>
                <w:b/>
                <w:bCs/>
                <w:color w:val="FFFFFF"/>
                <w:sz w:val="20"/>
                <w:szCs w:val="20"/>
              </w:rPr>
              <w:t xml:space="preserve">Training Version</w:t>
            </w:r>
          </w:p>
        </w:tc>
        <w:tc>
          <w:tcPr>
            <w:tcW w:type="dxa" w:w="900"/>
            <w:tcBorders>
              <w:top w:val="single" w:color="CCCCCC" w:sz="1"/>
              <w:left w:val="single" w:color="CCCCCC" w:sz="1"/>
              <w:bottom w:val="single" w:color="CCCCCC" w:sz="1"/>
              <w:right w:val="single" w:color="CCCCCC" w:sz="1"/>
            </w:tcBorders>
            <w:shd w:fill="0D9488" w:val="clear"/>
            <w:tcMar>
              <w:top w:type="dxa" w:w="100"/>
              <w:left w:type="dxa" w:w="140"/>
              <w:bottom w:type="dxa" w:w="100"/>
              <w:right w:type="dxa" w:w="140"/>
            </w:tcMar>
          </w:tcPr>
          <w:p>
            <w:r>
              <w:rPr>
                <w:rFonts w:ascii="Arial" w:cs="Arial" w:eastAsia="Arial" w:hAnsi="Arial"/>
                <w:b/>
                <w:bCs/>
                <w:color w:val="FFFFFF"/>
                <w:sz w:val="20"/>
                <w:szCs w:val="20"/>
              </w:rPr>
              <w:t xml:space="preserve">Cities</w:t>
            </w:r>
          </w:p>
        </w:tc>
        <w:tc>
          <w:tcPr>
            <w:tcW w:type="dxa" w:w="900"/>
            <w:tcBorders>
              <w:top w:val="single" w:color="CCCCCC" w:sz="1"/>
              <w:left w:val="single" w:color="CCCCCC" w:sz="1"/>
              <w:bottom w:val="single" w:color="CCCCCC" w:sz="1"/>
              <w:right w:val="single" w:color="CCCCCC" w:sz="1"/>
            </w:tcBorders>
            <w:shd w:fill="0D9488" w:val="clear"/>
            <w:tcMar>
              <w:top w:type="dxa" w:w="100"/>
              <w:left w:type="dxa" w:w="140"/>
              <w:bottom w:type="dxa" w:w="100"/>
              <w:right w:type="dxa" w:w="140"/>
            </w:tcMar>
          </w:tcPr>
          <w:p>
            <w:r>
              <w:rPr>
                <w:rFonts w:ascii="Arial" w:cs="Arial" w:eastAsia="Arial" w:hAnsi="Arial"/>
                <w:b/>
                <w:bCs/>
                <w:color w:val="FFFFFF"/>
                <w:sz w:val="20"/>
                <w:szCs w:val="20"/>
              </w:rPr>
              <w:t xml:space="preserve">Years</w:t>
            </w:r>
          </w:p>
        </w:tc>
        <w:tc>
          <w:tcPr>
            <w:tcW w:type="dxa" w:w="1500"/>
            <w:tcBorders>
              <w:top w:val="single" w:color="CCCCCC" w:sz="1"/>
              <w:left w:val="single" w:color="CCCCCC" w:sz="1"/>
              <w:bottom w:val="single" w:color="CCCCCC" w:sz="1"/>
              <w:right w:val="single" w:color="CCCCCC" w:sz="1"/>
            </w:tcBorders>
            <w:shd w:fill="0D9488" w:val="clear"/>
            <w:tcMar>
              <w:top w:type="dxa" w:w="100"/>
              <w:left w:type="dxa" w:w="140"/>
              <w:bottom w:type="dxa" w:w="100"/>
              <w:right w:type="dxa" w:w="140"/>
            </w:tcMar>
          </w:tcPr>
          <w:p>
            <w:r>
              <w:rPr>
                <w:rFonts w:ascii="Arial" w:cs="Arial" w:eastAsia="Arial" w:hAnsi="Arial"/>
                <w:b/>
                <w:bCs/>
                <w:color w:val="FFFFFF"/>
                <w:sz w:val="20"/>
                <w:szCs w:val="20"/>
              </w:rPr>
              <w:t xml:space="preserve">MAPE</w:t>
            </w:r>
          </w:p>
        </w:tc>
        <w:tc>
          <w:tcPr>
            <w:tcW w:type="dxa" w:w="3060"/>
            <w:tcBorders>
              <w:top w:val="single" w:color="CCCCCC" w:sz="1"/>
              <w:left w:val="single" w:color="CCCCCC" w:sz="1"/>
              <w:bottom w:val="single" w:color="CCCCCC" w:sz="1"/>
              <w:right w:val="single" w:color="CCCCCC" w:sz="1"/>
            </w:tcBorders>
            <w:shd w:fill="0D9488" w:val="clear"/>
            <w:tcMar>
              <w:top w:type="dxa" w:w="100"/>
              <w:left w:type="dxa" w:w="140"/>
              <w:bottom w:type="dxa" w:w="100"/>
              <w:right w:type="dxa" w:w="140"/>
            </w:tcMar>
          </w:tcPr>
          <w:p>
            <w:r>
              <w:rPr>
                <w:rFonts w:ascii="Arial" w:cs="Arial" w:eastAsia="Arial" w:hAnsi="Arial"/>
                <w:b/>
                <w:bCs/>
                <w:color w:val="FFFFFF"/>
                <w:sz w:val="20"/>
                <w:szCs w:val="20"/>
              </w:rPr>
              <w:t xml:space="preserve">Key Change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v1 (initial baseline)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0.42% (leakage)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Abandoned — data leakage</w:t>
            </w:r>
          </w:p>
        </w:tc>
      </w:tr>
      <w:tr>
        <w:tc>
          <w:tcPr>
            <w:tcW w:type="dxa" w:w="210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v2 (climatological pivot)</w:t>
            </w:r>
          </w:p>
        </w:tc>
        <w:tc>
          <w:tcPr>
            <w:tcW w:type="dxa" w:w="90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5</w:t>
            </w:r>
          </w:p>
        </w:tc>
        <w:tc>
          <w:tcPr>
            <w:tcW w:type="dxa" w:w="90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2</w:t>
            </w:r>
          </w:p>
        </w:tc>
        <w:tc>
          <w:tcPr>
            <w:tcW w:type="dxa" w:w="150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13.68%</w:t>
            </w:r>
          </w:p>
        </w:tc>
        <w:tc>
          <w:tcPr>
            <w:tcW w:type="dxa" w:w="306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Correct architecture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v3 (expanded dataset)</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20</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11.41%</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Production model</w:t>
            </w:r>
          </w:p>
        </w:tc>
      </w:tr>
    </w:tbl>
    <w:p>
      <w:pPr>
        <w:spacing w:before="80" w:after="80"/>
      </w:pPr>
      <w:r>
        <w:t xml:space="preserve"/>
      </w:r>
    </w:p>
    <w:p>
      <w:pPr>
        <w:spacing w:before="60" w:after="200"/>
        <w:jc w:val="center"/>
      </w:pPr>
      <w:r>
        <w:rPr>
          <w:rFonts w:ascii="Arial" w:cs="Arial" w:eastAsia="Arial" w:hAnsi="Arial"/>
          <w:i/>
          <w:iCs/>
          <w:color w:val="64748B"/>
          <w:sz w:val="18"/>
          <w:szCs w:val="18"/>
        </w:rPr>
        <w:t xml:space="preserve">Table 4.1: Model 2 training iteration history with MAPE progression</w:t>
      </w:r>
    </w:p>
    <w:p>
      <w:pPr>
        <w:spacing w:before="120" w:after="120"/>
      </w:pPr>
      <w:r>
        <w:t xml:space="preserve"/>
      </w:r>
    </w:p>
    <w:p>
      <w:pPr>
        <w:pStyle w:val="Heading2"/>
        <w:spacing w:before="280" w:after="80"/>
      </w:pPr>
      <w:r>
        <w:rPr>
          <w:rFonts w:ascii="Arial" w:cs="Arial" w:eastAsia="Arial" w:hAnsi="Arial"/>
          <w:b/>
          <w:bCs/>
          <w:color w:val="0D9488"/>
          <w:sz w:val="26"/>
          <w:szCs w:val="26"/>
        </w:rPr>
        <w:t xml:space="preserve">4.2 The XGBoost Version Mismatch — An 8-Hour Debugging Case Study</w:t>
      </w:r>
    </w:p>
    <w:p>
      <w:pPr>
        <w:spacing w:before="0" w:after="120"/>
      </w:pPr>
      <w:r>
        <w:rPr>
          <w:rFonts w:ascii="Arial" w:cs="Arial" w:eastAsia="Arial" w:hAnsi="Arial"/>
          <w:color w:val="334155"/>
          <w:sz w:val="22"/>
          <w:szCs w:val="22"/>
        </w:rPr>
        <w:t xml:space="preserve">The most significant debugging episode of the entire project was the Model 2 XGBoost version mismatch, which produced values approximately 7–8× too small and negative monthly generation predictions in production. This section documents the investigation in detail as it exemplifies the AI-human debugging collaboration used throughout the project.</w:t>
      </w:r>
    </w:p>
    <w:p>
      <w:pPr>
        <w:spacing w:before="80" w:after="80"/>
      </w:pPr>
      <w:r>
        <w:t xml:space="preserve"/>
      </w:r>
    </w:p>
    <w:p>
      <w:pPr>
        <w:pStyle w:val="Heading3"/>
        <w:spacing w:before="200" w:after="60"/>
      </w:pPr>
      <w:r>
        <w:rPr>
          <w:rFonts w:ascii="Arial" w:cs="Arial" w:eastAsia="Arial" w:hAnsi="Arial"/>
          <w:b/>
          <w:bCs/>
          <w:color w:val="334155"/>
          <w:sz w:val="22"/>
          <w:szCs w:val="22"/>
        </w:rPr>
        <w:t xml:space="preserve">4.2.1 Detection</w:t>
      </w:r>
    </w:p>
    <w:p>
      <w:pPr>
        <w:spacing w:before="0" w:after="120"/>
      </w:pPr>
      <w:r>
        <w:rPr>
          <w:rFonts w:ascii="Arial" w:cs="Arial" w:eastAsia="Arial" w:hAnsi="Arial"/>
          <w:color w:val="334155"/>
          <w:sz w:val="22"/>
          <w:szCs w:val="22"/>
        </w:rPr>
        <w:t xml:space="preserve">The anomaly was detected during robustness testing — not through a single failed test, but through a pattern of irregular behaviour across outputs that did not match any single obvious cause. Values were not zero (which would suggest a model loading failure) but were implausibly small (0.84 kWh/day for a Lagos location that should return 4–6 kWh/day). Negative monthly climatology values appeared in months 6, 7, and 8. The irregularity was systematic enough to suggest a runtime corruption rather than a training data issue.</w:t>
      </w:r>
    </w:p>
    <w:p>
      <w:pPr>
        <w:spacing w:before="80" w:after="80"/>
      </w:pPr>
      <w:r>
        <w:t xml:space="preserve"/>
      </w:r>
    </w:p>
    <w:p>
      <w:pPr>
        <w:pStyle w:val="Heading3"/>
        <w:spacing w:before="200" w:after="60"/>
      </w:pPr>
      <w:r>
        <w:rPr>
          <w:rFonts w:ascii="Arial" w:cs="Arial" w:eastAsia="Arial" w:hAnsi="Arial"/>
          <w:b/>
          <w:bCs/>
          <w:color w:val="334155"/>
          <w:sz w:val="22"/>
          <w:szCs w:val="22"/>
        </w:rPr>
        <w:t xml:space="preserve">4.2.2 Investigation Process</w:t>
      </w:r>
    </w:p>
    <w:p>
      <w:pPr>
        <w:spacing w:before="0" w:after="120"/>
      </w:pPr>
      <w:r>
        <w:rPr>
          <w:rFonts w:ascii="Arial" w:cs="Arial" w:eastAsia="Arial" w:hAnsi="Arial"/>
          <w:color w:val="334155"/>
          <w:sz w:val="22"/>
          <w:szCs w:val="22"/>
        </w:rPr>
        <w:t xml:space="preserve">Logs and the relevant codebase sections were provided to Claude with a description of expected vs. actual behaviour. Over an 8-hour multi-session investigation, Claude guided the diagnosis through multiple hypotheses:</w:t>
      </w:r>
    </w:p>
    <w:p>
      <w:pPr>
        <w:pStyle w:val="ListParagraph"/>
        <w:numPr>
          <w:ilvl w:val="0"/>
          <w:numId w:val="2"/>
        </w:numPr>
        <w:spacing w:before="0" w:after="60"/>
      </w:pPr>
      <w:r>
        <w:rPr>
          <w:rFonts w:ascii="Arial" w:cs="Arial" w:eastAsia="Arial" w:hAnsi="Arial"/>
          <w:color w:val="334155"/>
          <w:sz w:val="22"/>
          <w:szCs w:val="22"/>
        </w:rPr>
        <w:t xml:space="preserve">Initial hypothesis: model artifact corruption — ruled out when notebook predictions were correct</w:t>
      </w:r>
    </w:p>
    <w:p>
      <w:pPr>
        <w:pStyle w:val="ListParagraph"/>
        <w:numPr>
          <w:ilvl w:val="0"/>
          <w:numId w:val="2"/>
        </w:numPr>
        <w:spacing w:before="0" w:after="60"/>
      </w:pPr>
      <w:r>
        <w:rPr>
          <w:rFonts w:ascii="Arial" w:cs="Arial" w:eastAsia="Arial" w:hAnsi="Arial"/>
          <w:color w:val="334155"/>
          <w:sz w:val="22"/>
          <w:szCs w:val="22"/>
        </w:rPr>
        <w:t xml:space="preserve">Second hypothesis: API payload serialisation issue — ruled out when direct service calls also returned correct values</w:t>
      </w:r>
    </w:p>
    <w:p>
      <w:pPr>
        <w:pStyle w:val="ListParagraph"/>
        <w:numPr>
          <w:ilvl w:val="0"/>
          <w:numId w:val="2"/>
        </w:numPr>
        <w:spacing w:before="0" w:after="60"/>
      </w:pPr>
      <w:r>
        <w:rPr>
          <w:rFonts w:ascii="Arial" w:cs="Arial" w:eastAsia="Arial" w:hAnsi="Arial"/>
          <w:color w:val="334155"/>
          <w:sz w:val="22"/>
          <w:szCs w:val="22"/>
        </w:rPr>
        <w:t xml:space="preserve">Third hypothesis: concurrent request state corruption — partially correct; led to discovery of the I/O contention pattern</w:t>
      </w:r>
    </w:p>
    <w:p>
      <w:pPr>
        <w:pStyle w:val="ListParagraph"/>
        <w:numPr>
          <w:ilvl w:val="0"/>
          <w:numId w:val="2"/>
        </w:numPr>
        <w:spacing w:before="0" w:after="60"/>
      </w:pPr>
      <w:r>
        <w:rPr>
          <w:rFonts w:ascii="Arial" w:cs="Arial" w:eastAsia="Arial" w:hAnsi="Arial"/>
          <w:color w:val="334155"/>
          <w:sz w:val="22"/>
          <w:szCs w:val="22"/>
        </w:rPr>
        <w:t xml:space="preserve">Fourth hypothesis: environment dependency mismatch — confirmed as root cause</w:t>
      </w:r>
    </w:p>
    <w:p>
      <w:pPr>
        <w:spacing w:before="80" w:after="80"/>
      </w:pPr>
      <w:r>
        <w:t xml:space="preserve"/>
      </w:r>
    </w:p>
    <w:p>
      <w:pPr>
        <w:spacing w:before="0" w:after="120"/>
      </w:pPr>
      <w:r>
        <w:rPr>
          <w:rFonts w:ascii="Arial" w:cs="Arial" w:eastAsia="Arial" w:hAnsi="Arial"/>
          <w:color w:val="334155"/>
          <w:sz w:val="22"/>
          <w:szCs w:val="22"/>
        </w:rPr>
        <w:t xml:space="preserve">The confirmed root cause was an XGBoost library version mismatch between training (3.1.3) and serving (2.0.3) environments. When the model artifact saved under XGBoost 3.1.3 was loaded by a 2.0.3 runtime, the internal tree structures were misinterpreted, producing the 7–8× underperformance pattern. A related discovery was that the predict_lifetime_generation() function was triggering 12 sequential joblib.load() calls per request when include_lifetime=True, causing I/O contention under concurrency that further corrupted the in-memory model state.</w:t>
      </w:r>
    </w:p>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D9488" w:sz="4"/>
              <w:left w:val="single" w:color="0D9488" w:sz="12"/>
              <w:bottom w:val="single" w:color="0D9488" w:sz="4"/>
              <w:right w:val="none"/>
            </w:tcBorders>
            <w:shd w:fill="F0FDFA" w:val="clear"/>
            <w:tcMar>
              <w:top w:type="dxa" w:w="100"/>
              <w:left w:type="dxa" w:w="180"/>
              <w:bottom w:type="dxa" w:w="100"/>
              <w:right w:type="dxa" w:w="140"/>
            </w:tcMar>
          </w:tcPr>
          <w:p>
            <w:r>
              <w:rPr>
                <w:rFonts w:ascii="Arial" w:cs="Arial" w:eastAsia="Arial" w:hAnsi="Arial"/>
                <w:b/>
                <w:bCs/>
                <w:color w:val="0D9488"/>
                <w:sz w:val="18"/>
                <w:szCs w:val="18"/>
              </w:rPr>
              <w:t xml:space="preserve">HUMAN ROLE IN THE DEBUG LOOP</w:t>
            </w:r>
          </w:p>
          <w:p>
            <w:r>
              <w:rPr>
                <w:rFonts w:ascii="Arial" w:cs="Arial" w:eastAsia="Arial" w:hAnsi="Arial"/>
                <w:color w:val="334155"/>
                <w:sz w:val="20"/>
                <w:szCs w:val="20"/>
              </w:rPr>
              <w:t xml:space="preserve">At every stage of the 8-hour investigation, the DSE lead directed which parts of the codebase to examine, evaluated whether each hypothesis was plausible given deployment context, implemented and tested each proposed fix, and determined when a suggestion was not feasible. Claude provided analytical reasoning and hypothesis generation; the lead provided system knowledge, test execution, and judgement. Neither alone would have resolved the bug as quickly.</w:t>
            </w:r>
          </w:p>
        </w:tc>
      </w:tr>
    </w:tbl>
    <w:p>
      <w:pPr>
        <w:spacing w:before="160" w:after="160"/>
      </w:pPr>
      <w:r>
        <w:t xml:space="preserve"/>
      </w:r>
    </w:p>
    <w:p>
      <w:pPr>
        <w:pStyle w:val="Heading3"/>
        <w:spacing w:before="200" w:after="60"/>
      </w:pPr>
      <w:r>
        <w:rPr>
          <w:rFonts w:ascii="Arial" w:cs="Arial" w:eastAsia="Arial" w:hAnsi="Arial"/>
          <w:b/>
          <w:bCs/>
          <w:color w:val="334155"/>
          <w:sz w:val="22"/>
          <w:szCs w:val="22"/>
        </w:rPr>
        <w:t xml:space="preserve">4.2.3 Resolution</w:t>
      </w:r>
    </w:p>
    <w:p>
      <w:pPr>
        <w:spacing w:before="0" w:after="120"/>
      </w:pPr>
      <w:r>
        <w:rPr>
          <w:rFonts w:ascii="Arial" w:cs="Arial" w:eastAsia="Arial" w:hAnsi="Arial"/>
          <w:color w:val="334155"/>
          <w:sz w:val="22"/>
          <w:szCs w:val="22"/>
        </w:rPr>
        <w:t xml:space="preserve">Two fixes were implemented as a result of this investigation. First, the XGBoost version was pinned and aligned between training and serving environments. Second, a module-level model cache (_MODEL_CACHE) was implemented in solar_climatology_service.py, ensuring the model artifact is loaded from disk exactly once per process — eliminating both the I/O contention and the redundant disk reads on every lifetime prediction call. The fix was validated against the robustness suite (49/49 tests passing) and confirmed through end-to-end testing.</w:t>
      </w:r>
    </w:p>
    <w:p>
      <w:pPr>
        <w:spacing w:before="80" w:after="80"/>
      </w:pPr>
      <w:r>
        <w:t xml:space="preserve"/>
      </w:r>
    </w:p>
    <w:p>
      <w:pPr>
        <w:pStyle w:val="Heading2"/>
        <w:spacing w:before="280" w:after="80"/>
      </w:pPr>
      <w:r>
        <w:rPr>
          <w:rFonts w:ascii="Arial" w:cs="Arial" w:eastAsia="Arial" w:hAnsi="Arial"/>
          <w:b/>
          <w:bCs/>
          <w:color w:val="0D9488"/>
          <w:sz w:val="26"/>
          <w:szCs w:val="26"/>
        </w:rPr>
        <w:t xml:space="preserve">4.3 Coordinate Boundary Expansion</w:t>
      </w:r>
    </w:p>
    <w:p>
      <w:pPr>
        <w:spacing w:before="0" w:after="120"/>
      </w:pPr>
      <w:r>
        <w:rPr>
          <w:rFonts w:ascii="Arial" w:cs="Arial" w:eastAsia="Arial" w:hAnsi="Arial"/>
          <w:color w:val="334155"/>
          <w:sz w:val="22"/>
          <w:szCs w:val="22"/>
        </w:rPr>
        <w:t xml:space="preserve">During robustness testing, Model 2 was found to be incorrectly rejecting valid coordinates for training cities including Lagos, Abuja, Dakar, and Cape Town — cities that had been added in the expanded dataset but whose coordinates fell outside the validation bounds derived from the original 5-city training set. AI was used to systematically identify all cities affected and calculate the correct boundary values.</w:t>
      </w:r>
    </w:p>
    <w:p>
      <w:pPr>
        <w:spacing w:before="0" w:after="120"/>
      </w:pPr>
      <w:r>
        <w:rPr>
          <w:rFonts w:ascii="Arial" w:cs="Arial" w:eastAsia="Arial" w:hAnsi="Arial"/>
          <w:color w:val="334155"/>
          <w:sz w:val="22"/>
          <w:szCs w:val="22"/>
        </w:rPr>
        <w:t xml:space="preserve">The coordinate validation bounds were updated: lat_min −26→−34, lat_max 6→16, lon_max 44→45. The Model 2 robustness suite was updated with 6 new boundary tests, all 49 tests confirmed passing after the fix.</w:t>
      </w:r>
    </w:p>
    <w:p>
      <w:pPr>
        <w:spacing w:before="80" w:after="80"/>
      </w:pPr>
      <w:r>
        <w:t xml:space="preserve"/>
      </w:r>
    </w:p>
    <w:p>
      <w:pPr>
        <w:pStyle w:val="Heading2"/>
        <w:spacing w:before="280" w:after="80"/>
      </w:pPr>
      <w:r>
        <w:rPr>
          <w:rFonts w:ascii="Arial" w:cs="Arial" w:eastAsia="Arial" w:hAnsi="Arial"/>
          <w:b/>
          <w:bCs/>
          <w:color w:val="0D9488"/>
          <w:sz w:val="26"/>
          <w:szCs w:val="26"/>
        </w:rPr>
        <w:t xml:space="preserve">4.4 25-Year Lifetime Projection</w:t>
      </w:r>
    </w:p>
    <w:p>
      <w:pPr>
        <w:spacing w:before="0" w:after="120"/>
      </w:pPr>
      <w:r>
        <w:rPr>
          <w:rFonts w:ascii="Arial" w:cs="Arial" w:eastAsia="Arial" w:hAnsi="Arial"/>
          <w:color w:val="334155"/>
          <w:sz w:val="22"/>
          <w:szCs w:val="22"/>
        </w:rPr>
        <w:t xml:space="preserve">The lifetime projection feature — which produces 25 years of annual generation estimates with degradation modelling and widening confidence bands — was designed with AI assistance. The degradation formula (0.7% annual efficiency loss based on IRENA panel longevity data), confidence band widening schedule (±10% years 1–5, ±15% years 6–15, ±20% years 16–25), and output data structure were all drafted in collaboration with Claude and then validated against published solar panel performance literature.</w:t>
      </w:r>
    </w:p>
    <w:p>
      <w:pPr>
        <w:spacing w:before="0" w:after="120"/>
      </w:pPr>
      <w:r>
        <w:rPr>
          <w:rFonts w:ascii="Arial" w:cs="Arial" w:eastAsia="Arial" w:hAnsi="Arial"/>
          <w:color w:val="334155"/>
          <w:sz w:val="22"/>
          <w:szCs w:val="22"/>
        </w:rPr>
        <w:t xml:space="preserve">This feature also drove the architectural decision to implement the model cache: the lifetime projection requires running the model for all 12 months, which without caching triggered 12 sequential model artifact loads per request.</w:t>
      </w:r>
    </w:p>
    <w:p>
      <w:pPr>
        <w:spacing w:before="80" w:after="80"/>
      </w:pPr>
      <w:r>
        <w:t xml:space="preserve"/>
      </w:r>
    </w:p>
    <w:p>
      <w:pPr>
        <w:pStyle w:val="Heading2"/>
        <w:spacing w:before="280" w:after="80"/>
      </w:pPr>
      <w:r>
        <w:rPr>
          <w:rFonts w:ascii="Arial" w:cs="Arial" w:eastAsia="Arial" w:hAnsi="Arial"/>
          <w:b/>
          <w:bCs/>
          <w:color w:val="0D9488"/>
          <w:sz w:val="26"/>
          <w:szCs w:val="26"/>
        </w:rPr>
        <w:t xml:space="preserve">4.5 Documentation Produced with AI Assistance</w:t>
      </w:r>
    </w:p>
    <w:p>
      <w:pPr>
        <w:pStyle w:val="ListParagraph"/>
        <w:numPr>
          <w:ilvl w:val="0"/>
          <w:numId w:val="2"/>
        </w:numPr>
        <w:spacing w:before="0" w:after="60"/>
      </w:pPr>
      <w:r>
        <w:rPr>
          <w:rFonts w:ascii="Arial" w:cs="Arial" w:eastAsia="Arial" w:hAnsi="Arial"/>
          <w:color w:val="334155"/>
          <w:sz w:val="22"/>
          <w:szCs w:val="22"/>
        </w:rPr>
        <w:t xml:space="preserve">Model Card — training methodology, feature set, MAPE by city, known limitations (Cape Town outlier, coordinate boundaries)</w:t>
      </w:r>
    </w:p>
    <w:p>
      <w:pPr>
        <w:pStyle w:val="ListParagraph"/>
        <w:numPr>
          <w:ilvl w:val="0"/>
          <w:numId w:val="2"/>
        </w:numPr>
        <w:spacing w:before="0" w:after="60"/>
      </w:pPr>
      <w:r>
        <w:rPr>
          <w:rFonts w:ascii="Arial" w:cs="Arial" w:eastAsia="Arial" w:hAnsi="Arial"/>
          <w:color w:val="334155"/>
          <w:sz w:val="22"/>
          <w:szCs w:val="22"/>
        </w:rPr>
        <w:t xml:space="preserve">API Contract — POST /api/v1/predict-generation request/response schema, error codes, integration guide for backend</w:t>
      </w:r>
    </w:p>
    <w:p>
      <w:pPr>
        <w:pStyle w:val="ListParagraph"/>
        <w:numPr>
          <w:ilvl w:val="0"/>
          <w:numId w:val="2"/>
        </w:numPr>
        <w:spacing w:before="0" w:after="60"/>
      </w:pPr>
      <w:r>
        <w:rPr>
          <w:rFonts w:ascii="Arial" w:cs="Arial" w:eastAsia="Arial" w:hAnsi="Arial"/>
          <w:color w:val="334155"/>
          <w:sz w:val="22"/>
          <w:szCs w:val="22"/>
        </w:rPr>
        <w:t xml:space="preserve">model2_robustness_report_v2.docx — full robustness suite results, failure mode analysis, boundary documentation</w:t>
      </w:r>
    </w:p>
    <w:p>
      <w:pPr>
        <w:pStyle w:val="ListParagraph"/>
        <w:numPr>
          <w:ilvl w:val="0"/>
          <w:numId w:val="2"/>
        </w:numPr>
        <w:spacing w:before="0" w:after="60"/>
      </w:pPr>
      <w:r>
        <w:rPr>
          <w:rFonts w:ascii="Arial" w:cs="Arial" w:eastAsia="Arial" w:hAnsi="Arial"/>
          <w:color w:val="334155"/>
          <w:sz w:val="22"/>
          <w:szCs w:val="22"/>
        </w:rPr>
        <w:t xml:space="preserve">Cross-city validation documentation — MAPE by city, confidence levels by region</w:t>
      </w:r>
    </w:p>
    <w:p>
      <w:pPr>
        <w:pStyle w:val="ListParagraph"/>
        <w:numPr>
          <w:ilvl w:val="0"/>
          <w:numId w:val="2"/>
        </w:numPr>
        <w:spacing w:before="0" w:after="60"/>
      </w:pPr>
      <w:r>
        <w:rPr>
          <w:rFonts w:ascii="Arial" w:cs="Arial" w:eastAsia="Arial" w:hAnsi="Arial"/>
          <w:color w:val="334155"/>
          <w:sz w:val="22"/>
          <w:szCs w:val="22"/>
        </w:rPr>
        <w:t xml:space="preserve">Handoff documentation — integration notes for backend (Sarah) and frontend teams</w:t>
      </w:r>
    </w:p>
    <w:p>
      <w:pPr>
        <w:spacing w:before="80" w:after="80"/>
      </w:pPr>
      <w:r>
        <w:t xml:space="preserve"/>
      </w:r>
    </w:p>
    <w:p>
      <w:pPr>
        <w:pStyle w:val="Heading2"/>
        <w:spacing w:before="280" w:after="80"/>
      </w:pPr>
      <w:r>
        <w:rPr>
          <w:rFonts w:ascii="Arial" w:cs="Arial" w:eastAsia="Arial" w:hAnsi="Arial"/>
          <w:b/>
          <w:bCs/>
          <w:color w:val="0D9488"/>
          <w:sz w:val="26"/>
          <w:szCs w:val="26"/>
        </w:rPr>
        <w:t xml:space="preserve">4.6 Time Saved Estimates — Model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000"/>
        <w:gridCol w:w="2160"/>
      </w:tblGrid>
      <w:tr>
        <w:trPr>
          <w:tblHeader/>
        </w:trPr>
        <w:tc>
          <w:tcPr>
            <w:tcW w:type="dxa" w:w="3000"/>
            <w:tcBorders>
              <w:top w:val="single" w:color="CCCCCC" w:sz="1"/>
              <w:left w:val="single" w:color="CCCCCC" w:sz="1"/>
              <w:bottom w:val="single" w:color="CCCCCC" w:sz="1"/>
              <w:right w:val="single" w:color="CCCCCC" w:sz="1"/>
            </w:tcBorders>
            <w:shd w:fill="0D9488"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2200"/>
            <w:tcBorders>
              <w:top w:val="single" w:color="CCCCCC" w:sz="1"/>
              <w:left w:val="single" w:color="CCCCCC" w:sz="1"/>
              <w:bottom w:val="single" w:color="CCCCCC" w:sz="1"/>
              <w:right w:val="single" w:color="CCCCCC" w:sz="1"/>
            </w:tcBorders>
            <w:shd w:fill="0D9488" w:val="clear"/>
            <w:tcMar>
              <w:top w:type="dxa" w:w="100"/>
              <w:left w:type="dxa" w:w="140"/>
              <w:bottom w:type="dxa" w:w="100"/>
              <w:right w:type="dxa" w:w="140"/>
            </w:tcMar>
          </w:tcPr>
          <w:p>
            <w:r>
              <w:rPr>
                <w:rFonts w:ascii="Arial" w:cs="Arial" w:eastAsia="Arial" w:hAnsi="Arial"/>
                <w:b/>
                <w:bCs/>
                <w:color w:val="FFFFFF"/>
                <w:sz w:val="20"/>
                <w:szCs w:val="20"/>
              </w:rPr>
              <w:t xml:space="preserve">Estimated Manual Time</w:t>
            </w:r>
          </w:p>
        </w:tc>
        <w:tc>
          <w:tcPr>
            <w:tcW w:type="dxa" w:w="2000"/>
            <w:tcBorders>
              <w:top w:val="single" w:color="CCCCCC" w:sz="1"/>
              <w:left w:val="single" w:color="CCCCCC" w:sz="1"/>
              <w:bottom w:val="single" w:color="CCCCCC" w:sz="1"/>
              <w:right w:val="single" w:color="CCCCCC" w:sz="1"/>
            </w:tcBorders>
            <w:shd w:fill="0D9488" w:val="clear"/>
            <w:tcMar>
              <w:top w:type="dxa" w:w="100"/>
              <w:left w:type="dxa" w:w="140"/>
              <w:bottom w:type="dxa" w:w="100"/>
              <w:right w:type="dxa" w:w="140"/>
            </w:tcMar>
          </w:tcPr>
          <w:p>
            <w:r>
              <w:rPr>
                <w:rFonts w:ascii="Arial" w:cs="Arial" w:eastAsia="Arial" w:hAnsi="Arial"/>
                <w:b/>
                <w:bCs/>
                <w:color w:val="FFFFFF"/>
                <w:sz w:val="20"/>
                <w:szCs w:val="20"/>
              </w:rPr>
              <w:t xml:space="preserve">AI-Assisted Time</w:t>
            </w:r>
          </w:p>
        </w:tc>
        <w:tc>
          <w:tcPr>
            <w:tcW w:type="dxa" w:w="2160"/>
            <w:tcBorders>
              <w:top w:val="single" w:color="CCCCCC" w:sz="1"/>
              <w:left w:val="single" w:color="CCCCCC" w:sz="1"/>
              <w:bottom w:val="single" w:color="CCCCCC" w:sz="1"/>
              <w:right w:val="single" w:color="CCCCCC" w:sz="1"/>
            </w:tcBorders>
            <w:shd w:fill="0D9488" w:val="clear"/>
            <w:tcMar>
              <w:top w:type="dxa" w:w="100"/>
              <w:left w:type="dxa" w:w="140"/>
              <w:bottom w:type="dxa" w:w="100"/>
              <w:right w:type="dxa" w:w="140"/>
            </w:tcMar>
          </w:tcPr>
          <w:p>
            <w:r>
              <w:rPr>
                <w:rFonts w:ascii="Arial" w:cs="Arial" w:eastAsia="Arial" w:hAnsi="Arial"/>
                <w:b/>
                <w:bCs/>
                <w:color w:val="FFFFFF"/>
                <w:sz w:val="20"/>
                <w:szCs w:val="20"/>
              </w:rPr>
              <w:t xml:space="preserve">Time Saved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Data leakage diagnosis and architectural pivot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3–5 hours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~1 hour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~75%</w:t>
            </w:r>
          </w:p>
        </w:tc>
      </w:tr>
      <w:tr>
        <w:tc>
          <w:tcPr>
            <w:tcW w:type="dxa" w:w="300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Training data expansion (city selection, validation)</w:t>
            </w:r>
          </w:p>
        </w:tc>
        <w:tc>
          <w:tcPr>
            <w:tcW w:type="dxa" w:w="220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3–4 hours</w:t>
            </w:r>
          </w:p>
        </w:tc>
        <w:tc>
          <w:tcPr>
            <w:tcW w:type="dxa" w:w="200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~1.5 hours</w:t>
            </w:r>
          </w:p>
        </w:tc>
        <w:tc>
          <w:tcPr>
            <w:tcW w:type="dxa" w:w="216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~60%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XGBoost version mismatch diagnosis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3–5 days (manual code sweep)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8 hours (AI-guided)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~85%</w:t>
            </w:r>
          </w:p>
        </w:tc>
      </w:tr>
      <w:tr>
        <w:tc>
          <w:tcPr>
            <w:tcW w:type="dxa" w:w="300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I/O contention bug and cache implementation</w:t>
            </w:r>
          </w:p>
        </w:tc>
        <w:tc>
          <w:tcPr>
            <w:tcW w:type="dxa" w:w="220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1–2 days</w:t>
            </w:r>
          </w:p>
        </w:tc>
        <w:tc>
          <w:tcPr>
            <w:tcW w:type="dxa" w:w="200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~2 hours</w:t>
            </w:r>
          </w:p>
        </w:tc>
        <w:tc>
          <w:tcPr>
            <w:tcW w:type="dxa" w:w="216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~80%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Coordinate boundary audit and fix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2–3 hours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~45 minutes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~70%</w:t>
            </w:r>
          </w:p>
        </w:tc>
      </w:tr>
      <w:tr>
        <w:tc>
          <w:tcPr>
            <w:tcW w:type="dxa" w:w="300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Robustness suite design and documentation</w:t>
            </w:r>
          </w:p>
        </w:tc>
        <w:tc>
          <w:tcPr>
            <w:tcW w:type="dxa" w:w="220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4–6 hours</w:t>
            </w:r>
          </w:p>
        </w:tc>
        <w:tc>
          <w:tcPr>
            <w:tcW w:type="dxa" w:w="200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~2 hours</w:t>
            </w:r>
          </w:p>
        </w:tc>
        <w:tc>
          <w:tcPr>
            <w:tcW w:type="dxa" w:w="216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~65%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Model Card and API documentation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3–4 hours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~1 hour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~70%</w:t>
            </w:r>
          </w:p>
        </w:tc>
      </w:tr>
    </w:tbl>
    <w:p>
      <w:pPr>
        <w:spacing w:before="80" w:after="80"/>
      </w:pPr>
      <w:r>
        <w:t xml:space="preserve"/>
      </w:r>
    </w:p>
    <w:p>
      <w:pPr>
        <w:spacing w:before="60" w:after="200"/>
        <w:jc w:val="center"/>
      </w:pPr>
      <w:r>
        <w:rPr>
          <w:rFonts w:ascii="Arial" w:cs="Arial" w:eastAsia="Arial" w:hAnsi="Arial"/>
          <w:i/>
          <w:iCs/>
          <w:color w:val="64748B"/>
          <w:sz w:val="18"/>
          <w:szCs w:val="18"/>
        </w:rPr>
        <w:t xml:space="preserve">Table 4.2: Model 2 estimated time savings from AI-assisted workflows</w:t>
      </w:r>
    </w:p>
    <w:p>
      <w:pPr>
        <w:spacing w:before="120" w:after="120"/>
      </w:pPr>
      <w:r>
        <w:t xml:space="preserve"/>
      </w:r>
    </w:p>
    <w:p>
      <w:pPr>
        <w:pStyle w:val="Heading2"/>
        <w:spacing w:before="280" w:after="80"/>
      </w:pPr>
      <w:r>
        <w:rPr>
          <w:rFonts w:ascii="Arial" w:cs="Arial" w:eastAsia="Arial" w:hAnsi="Arial"/>
          <w:b/>
          <w:bCs/>
          <w:color w:val="0D9488"/>
          <w:sz w:val="26"/>
          <w:szCs w:val="26"/>
        </w:rPr>
        <w:t xml:space="preserve">4.7 Key Learnings from Model 2</w:t>
      </w:r>
    </w:p>
    <w:p>
      <w:pPr>
        <w:spacing w:before="0" w:after="120"/>
      </w:pPr>
      <w:r>
        <w:rPr>
          <w:rFonts w:ascii="Arial" w:cs="Arial" w:eastAsia="Arial" w:hAnsi="Arial"/>
          <w:color w:val="334155"/>
          <w:sz w:val="22"/>
          <w:szCs w:val="22"/>
        </w:rPr>
        <w:t xml:space="preserve">Model 2 development produced the clearest evidence of what AI-human collaboration looks like in practice on a real engineering project:</w:t>
      </w:r>
    </w:p>
    <w:p>
      <w:pPr>
        <w:pStyle w:val="ListParagraph"/>
        <w:numPr>
          <w:ilvl w:val="0"/>
          <w:numId w:val="2"/>
        </w:numPr>
        <w:spacing w:before="0" w:after="60"/>
      </w:pPr>
      <w:r>
        <w:rPr>
          <w:rFonts w:ascii="Arial" w:cs="Arial" w:eastAsia="Arial" w:hAnsi="Arial"/>
          <w:color w:val="334155"/>
          <w:sz w:val="22"/>
          <w:szCs w:val="22"/>
        </w:rPr>
        <w:t xml:space="preserve">AI cannot reproduce the 8-hour debugging session alone. It required the DSE lead's system knowledge to narrow the hypothesis space, the ability to run actual tests in the deployment environment, and the judgement to know when a proposed fix was not feasible. AI provided analytical depth and hypothesis generation.</w:t>
      </w:r>
    </w:p>
    <w:p>
      <w:pPr>
        <w:pStyle w:val="ListParagraph"/>
        <w:numPr>
          <w:ilvl w:val="0"/>
          <w:numId w:val="2"/>
        </w:numPr>
        <w:spacing w:before="0" w:after="60"/>
      </w:pPr>
      <w:r>
        <w:rPr>
          <w:rFonts w:ascii="Arial" w:cs="Arial" w:eastAsia="Arial" w:hAnsi="Arial"/>
          <w:color w:val="334155"/>
          <w:sz w:val="22"/>
          <w:szCs w:val="22"/>
        </w:rPr>
        <w:t xml:space="preserve">Every AI output in a debugging session was a starting point, not a conclusion. Each proposed fix was implemented, tested, and either confirmed or refined with a follow-up prompt. The feedback loop — output → implement → validate → re-prompt — was the core working pattern.</w:t>
      </w:r>
    </w:p>
    <w:p>
      <w:pPr>
        <w:pStyle w:val="ListParagraph"/>
        <w:numPr>
          <w:ilvl w:val="0"/>
          <w:numId w:val="2"/>
        </w:numPr>
        <w:spacing w:before="0" w:after="60"/>
      </w:pPr>
      <w:r>
        <w:rPr>
          <w:rFonts w:ascii="Arial" w:cs="Arial" w:eastAsia="Arial" w:hAnsi="Arial"/>
          <w:color w:val="334155"/>
          <w:sz w:val="22"/>
          <w:szCs w:val="22"/>
        </w:rPr>
        <w:t xml:space="preserve">AI hallucination was a consistent risk. Claude would occasionally suggest fixes referencing configuration options that did not exist in the specific library version in use, or recommend approaches that conflicted with the deployment environment. These required the DSE lead to catch and correct, which required sufficient technical depth to recognise the error.</w:t>
      </w:r>
    </w:p>
    <w:p>
      <w:pPr>
        <w:spacing w:before="80" w:after="80"/>
      </w:pPr>
      <w:r>
        <w:t xml:space="preserve"/>
      </w:r>
    </w:p>
    <w:p>
      <w:pPr>
        <w:pBdr>
          <w:bottom w:val="single" w:color="E2E8F0" w:sz="4" w:space="1"/>
        </w:pBdr>
        <w:spacing w:before="120" w:after="120"/>
      </w:pPr>
    </w:p>
    <w:p>
      <w:pPr>
        <w:spacing w:before="200" w:after="200"/>
      </w:pPr>
      <w:r>
        <w:t xml:space="preserve"/>
      </w:r>
    </w:p>
    <w:p>
      <w:pPr>
        <w:pStyle w:val="Heading1"/>
        <w:spacing w:before="360" w:after="120"/>
      </w:pPr>
      <w:r>
        <w:rPr>
          <w:rFonts w:ascii="Arial" w:cs="Arial" w:eastAsia="Arial" w:hAnsi="Arial"/>
          <w:b/>
          <w:bCs/>
          <w:color w:val="0F172A"/>
          <w:sz w:val="32"/>
          <w:szCs w:val="32"/>
        </w:rPr>
        <w:t xml:space="preserve">Section 5: Model 3 — Financial ROI Calculation</w:t>
      </w:r>
    </w:p>
    <w:p>
      <w:pPr>
        <w:spacing w:before="0" w:after="120"/>
      </w:pPr>
      <w:r>
        <w:rPr>
          <w:rFonts w:ascii="Arial" w:cs="Arial" w:eastAsia="Arial" w:hAnsi="Arial"/>
          <w:color w:val="334155"/>
          <w:sz w:val="22"/>
          <w:szCs w:val="22"/>
        </w:rPr>
        <w:t xml:space="preserve">Model 3 is the financial engine of the SolarSense DSE. It takes energy consumption (from Model 1), solar generation (from Model 2), the blended energy tariff, and the estimated system cost, and produces monthly savings in USD and a projected ROI percentage. Unlike Models 1 and 2, Model 3 contains no machine learning — it is a deterministic financial calculation with security hardening. This section documents AI tool usage in development, refactoring, and documentation.</w:t>
      </w:r>
    </w:p>
    <w:p>
      <w:pPr>
        <w:spacing w:before="80" w:after="80"/>
      </w:pPr>
      <w:r>
        <w:t xml:space="preserve"/>
      </w:r>
    </w:p>
    <w:p>
      <w:pPr>
        <w:pStyle w:val="Heading2"/>
        <w:spacing w:before="280" w:after="80"/>
      </w:pPr>
      <w:r>
        <w:rPr>
          <w:rFonts w:ascii="Arial" w:cs="Arial" w:eastAsia="Arial" w:hAnsi="Arial"/>
          <w:b/>
          <w:bCs/>
          <w:color w:val="0D9488"/>
          <w:sz w:val="26"/>
          <w:szCs w:val="26"/>
        </w:rPr>
        <w:t xml:space="preserve">5.1 Initial Build and Team Handoff</w:t>
      </w:r>
    </w:p>
    <w:p>
      <w:pPr>
        <w:spacing w:before="0" w:after="120"/>
      </w:pPr>
      <w:r>
        <w:rPr>
          <w:rFonts w:ascii="Arial" w:cs="Arial" w:eastAsia="Arial" w:hAnsi="Arial"/>
          <w:color w:val="334155"/>
          <w:sz w:val="22"/>
          <w:szCs w:val="22"/>
        </w:rPr>
        <w:t xml:space="preserve">Model 3 was initially built by two team members — Evelyn (Flask API infrastructure and test cases) and Zainabu (ROI formula implementation and security). Bella subsequently integrated Zainabu's formulas into the API structure and drafted the API contract for backend handoff. AI tools were used by all contributors for scaffolding, security implementation, and documentation, consistent with the team-wide approach established by the DSE lead.</w:t>
      </w:r>
    </w:p>
    <w:p>
      <w:pPr>
        <w:spacing w:before="80" w:after="80"/>
      </w:pPr>
      <w:r>
        <w:t xml:space="preserve"/>
      </w:r>
    </w:p>
    <w:p>
      <w:pPr>
        <w:pStyle w:val="Heading2"/>
        <w:spacing w:before="280" w:after="80"/>
      </w:pPr>
      <w:r>
        <w:rPr>
          <w:rFonts w:ascii="Arial" w:cs="Arial" w:eastAsia="Arial" w:hAnsi="Arial"/>
          <w:b/>
          <w:bCs/>
          <w:color w:val="0D9488"/>
          <w:sz w:val="26"/>
          <w:szCs w:val="26"/>
        </w:rPr>
        <w:t xml:space="preserve">5.2 The ROI Refactor and Alignment</w:t>
      </w:r>
    </w:p>
    <w:p>
      <w:pPr>
        <w:spacing w:before="0" w:after="120"/>
      </w:pPr>
      <w:r>
        <w:rPr>
          <w:rFonts w:ascii="Arial" w:cs="Arial" w:eastAsia="Arial" w:hAnsi="Arial"/>
          <w:color w:val="334155"/>
          <w:sz w:val="22"/>
          <w:szCs w:val="22"/>
        </w:rPr>
        <w:t xml:space="preserve">The initial Model 3 implementation required a significant refactor to fully align with DSE Alignment Document V2.1 and cybersecurity requirements. This task was taken on by the DSE lead and completed in approximately 3 hours, significantly assisted by AI.</w:t>
      </w:r>
    </w:p>
    <w:p>
      <w:pPr>
        <w:spacing w:before="0" w:after="120"/>
      </w:pPr>
      <w:r>
        <w:rPr>
          <w:rFonts w:ascii="Arial" w:cs="Arial" w:eastAsia="Arial" w:hAnsi="Arial"/>
          <w:color w:val="334155"/>
          <w:sz w:val="22"/>
          <w:szCs w:val="22"/>
        </w:rPr>
        <w:t xml:space="preserve">The key changes addressed in the refactor were:</w:t>
      </w:r>
    </w:p>
    <w:p>
      <w:pPr>
        <w:pStyle w:val="ListParagraph"/>
        <w:numPr>
          <w:ilvl w:val="0"/>
          <w:numId w:val="2"/>
        </w:numPr>
        <w:spacing w:before="0" w:after="60"/>
      </w:pPr>
      <w:r>
        <w:rPr>
          <w:rFonts w:ascii="Arial" w:cs="Arial" w:eastAsia="Arial" w:hAnsi="Arial"/>
          <w:color w:val="334155"/>
          <w:sz w:val="22"/>
          <w:szCs w:val="22"/>
        </w:rPr>
        <w:t xml:space="preserve">Formula alignment: the energy offset calculation was corrected to use min(consumption_kwh, generation_kwh), ensuring the system never claims savings on energy that was not actually consumed</w:t>
      </w:r>
    </w:p>
    <w:p>
      <w:pPr>
        <w:pStyle w:val="ListParagraph"/>
        <w:numPr>
          <w:ilvl w:val="0"/>
          <w:numId w:val="2"/>
        </w:numPr>
        <w:spacing w:before="0" w:after="60"/>
      </w:pPr>
      <w:r>
        <w:rPr>
          <w:rFonts w:ascii="Arial" w:cs="Arial" w:eastAsia="Arial" w:hAnsi="Arial"/>
          <w:color w:val="334155"/>
          <w:sz w:val="22"/>
          <w:szCs w:val="22"/>
        </w:rPr>
        <w:t xml:space="preserve">Payback period removal: payback period logic was descoped per alignment requirements and removed from all calculations and outputs</w:t>
      </w:r>
    </w:p>
    <w:p>
      <w:pPr>
        <w:pStyle w:val="ListParagraph"/>
        <w:numPr>
          <w:ilvl w:val="0"/>
          <w:numId w:val="2"/>
        </w:numPr>
        <w:spacing w:before="0" w:after="60"/>
      </w:pPr>
      <w:r>
        <w:rPr>
          <w:rFonts w:ascii="Arial" w:cs="Arial" w:eastAsia="Arial" w:hAnsi="Arial"/>
          <w:color w:val="334155"/>
          <w:sz w:val="22"/>
          <w:szCs w:val="22"/>
        </w:rPr>
        <w:t xml:space="preserve">Input validation hardening: field-by-field validation with explicit min/max bounds, type checking, and structured error responses was implemented across all fields</w:t>
      </w:r>
    </w:p>
    <w:p>
      <w:pPr>
        <w:pStyle w:val="ListParagraph"/>
        <w:numPr>
          <w:ilvl w:val="0"/>
          <w:numId w:val="2"/>
        </w:numPr>
        <w:spacing w:before="0" w:after="60"/>
      </w:pPr>
      <w:r>
        <w:rPr>
          <w:rFonts w:ascii="Arial" w:cs="Arial" w:eastAsia="Arial" w:hAnsi="Arial"/>
          <w:color w:val="334155"/>
          <w:sz w:val="22"/>
          <w:szCs w:val="22"/>
        </w:rPr>
        <w:t xml:space="preserve">ROI realism cap: output ROI was capped at 100% to prevent physically unrealistic values from reaching the frontend</w:t>
      </w:r>
    </w:p>
    <w:p>
      <w:pPr>
        <w:pStyle w:val="ListParagraph"/>
        <w:numPr>
          <w:ilvl w:val="0"/>
          <w:numId w:val="2"/>
        </w:numPr>
        <w:spacing w:before="0" w:after="60"/>
      </w:pPr>
      <w:r>
        <w:rPr>
          <w:rFonts w:ascii="Arial" w:cs="Arial" w:eastAsia="Arial" w:hAnsi="Arial"/>
          <w:color w:val="334155"/>
          <w:sz w:val="22"/>
          <w:szCs w:val="22"/>
        </w:rPr>
        <w:t xml:space="preserve">Diesel integration: the tariff parameter was updated to accept the blended tariff computed by Model 4's diesel economics engine rather than a fixed grid rate</w:t>
      </w:r>
    </w:p>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D9488" w:sz="4"/>
              <w:left w:val="single" w:color="0D9488" w:sz="12"/>
              <w:bottom w:val="single" w:color="0D9488" w:sz="4"/>
              <w:right w:val="none"/>
            </w:tcBorders>
            <w:shd w:fill="F0FDFA" w:val="clear"/>
            <w:tcMar>
              <w:top w:type="dxa" w:w="100"/>
              <w:left w:type="dxa" w:w="180"/>
              <w:bottom w:type="dxa" w:w="100"/>
              <w:right w:type="dxa" w:w="140"/>
            </w:tcMar>
          </w:tcPr>
          <w:p>
            <w:r>
              <w:rPr>
                <w:rFonts w:ascii="Arial" w:cs="Arial" w:eastAsia="Arial" w:hAnsi="Arial"/>
                <w:b/>
                <w:bCs/>
                <w:color w:val="0D9488"/>
                <w:sz w:val="18"/>
                <w:szCs w:val="18"/>
              </w:rPr>
              <w:t xml:space="preserve">THE COMPLETE ROI FORMULA</w:t>
            </w:r>
          </w:p>
          <w:p>
            <w:r>
              <w:rPr>
                <w:rFonts w:ascii="Arial" w:cs="Arial" w:eastAsia="Arial" w:hAnsi="Arial"/>
                <w:color w:val="334155"/>
                <w:sz w:val="20"/>
                <w:szCs w:val="20"/>
              </w:rPr>
              <w:t xml:space="preserve">energy_offset_kwh = min(consumption_kwh, generation_kwh)
monthly_savings_usd = energy_offset_kwh × blended_tariff_per_kwh
annual_savings_usd = monthly_savings_usd × 12
roi_percentage = (annual_savings_usd ÷ system_cost_usd) × 100  [capped at 100%]</w:t>
            </w:r>
          </w:p>
        </w:tc>
      </w:tr>
    </w:tbl>
    <w:p>
      <w:pPr>
        <w:spacing w:before="160" w:after="160"/>
      </w:pPr>
      <w:r>
        <w:t xml:space="preserve"/>
      </w:r>
    </w:p>
    <w:p>
      <w:pPr>
        <w:pStyle w:val="Heading2"/>
        <w:spacing w:before="280" w:after="80"/>
      </w:pPr>
      <w:r>
        <w:rPr>
          <w:rFonts w:ascii="Arial" w:cs="Arial" w:eastAsia="Arial" w:hAnsi="Arial"/>
          <w:b/>
          <w:bCs/>
          <w:color w:val="0D9488"/>
          <w:sz w:val="26"/>
          <w:szCs w:val="26"/>
        </w:rPr>
        <w:t xml:space="preserve">5.3 AI Usage in Model 3 Development</w:t>
      </w:r>
    </w:p>
    <w:p>
      <w:pPr>
        <w:pStyle w:val="Heading3"/>
        <w:spacing w:before="200" w:after="60"/>
      </w:pPr>
      <w:r>
        <w:rPr>
          <w:rFonts w:ascii="Arial" w:cs="Arial" w:eastAsia="Arial" w:hAnsi="Arial"/>
          <w:b/>
          <w:bCs/>
          <w:color w:val="334155"/>
          <w:sz w:val="22"/>
          <w:szCs w:val="22"/>
        </w:rPr>
        <w:t xml:space="preserve">5.3.1 Code Generation and Security Implementation</w:t>
      </w:r>
    </w:p>
    <w:p>
      <w:pPr>
        <w:spacing w:before="0" w:after="120"/>
      </w:pPr>
      <w:r>
        <w:rPr>
          <w:rFonts w:ascii="Arial" w:cs="Arial" w:eastAsia="Arial" w:hAnsi="Arial"/>
          <w:color w:val="334155"/>
          <w:sz w:val="22"/>
          <w:szCs w:val="22"/>
        </w:rPr>
        <w:t xml:space="preserve">Claude was used to generate the security implementation layer for Model 3 — a pattern applied consistently across all four models. The cybersecurity checklist requirements (API key authentication, rate limiting at 100 requests/minute, input/output validation with realistic bounds, structured error handling without stack trace exposure, maximum request size enforcement) were provided as a prompt with the existing code, and Claude generated the security scaffolding. This was validated manually against the checklist before deployment.</w:t>
      </w:r>
    </w:p>
    <w:p>
      <w:pPr>
        <w:spacing w:before="80" w:after="80"/>
      </w:pPr>
      <w:r>
        <w:t xml:space="preserve"/>
      </w:r>
    </w:p>
    <w:p>
      <w:pPr>
        <w:pStyle w:val="Heading3"/>
        <w:spacing w:before="200" w:after="60"/>
      </w:pPr>
      <w:r>
        <w:rPr>
          <w:rFonts w:ascii="Arial" w:cs="Arial" w:eastAsia="Arial" w:hAnsi="Arial"/>
          <w:b/>
          <w:bCs/>
          <w:color w:val="334155"/>
          <w:sz w:val="22"/>
          <w:szCs w:val="22"/>
        </w:rPr>
        <w:t xml:space="preserve">5.3.2 Formula Validation Approach</w:t>
      </w:r>
    </w:p>
    <w:p>
      <w:pPr>
        <w:spacing w:before="0" w:after="120"/>
      </w:pPr>
      <w:r>
        <w:rPr>
          <w:rFonts w:ascii="Arial" w:cs="Arial" w:eastAsia="Arial" w:hAnsi="Arial"/>
          <w:color w:val="334155"/>
          <w:sz w:val="22"/>
          <w:szCs w:val="22"/>
        </w:rPr>
        <w:t xml:space="preserve">Because Model 3 is a deterministic calculation rather than a trained model, AI was used differently here than for Models 1 and 2. Rather than diagnosing unpredictable ML behaviour, Claude was used to verify the mathematical correctness of the implementation against the alignment document — effectively acting as a second reviewer. Specific values were traced through the formula manually and compared against AI-generated calculations to confirm correctness.</w:t>
      </w:r>
    </w:p>
    <w:p>
      <w:pPr>
        <w:spacing w:before="0" w:after="120"/>
      </w:pPr>
      <w:r>
        <w:rPr>
          <w:rFonts w:ascii="Arial" w:cs="Arial" w:eastAsia="Arial" w:hAnsi="Arial"/>
          <w:color w:val="334155"/>
          <w:sz w:val="22"/>
          <w:szCs w:val="22"/>
        </w:rPr>
        <w:t xml:space="preserve">This was particularly important for the diesel blended tariff integration: the diesel economics calculation (fuel consumption at 0.40 L/kWh for SME partial load, maintenance cost at $0.50/hour, blended tariff from weighted average of diesel and grid costs) required careful verification to ensure the Model 4 output was being consumed correctly by Model 3.</w:t>
      </w:r>
    </w:p>
    <w:p>
      <w:pPr>
        <w:spacing w:before="80" w:after="80"/>
      </w:pPr>
      <w:r>
        <w:t xml:space="preserve"/>
      </w:r>
    </w:p>
    <w:p>
      <w:pPr>
        <w:pStyle w:val="Heading3"/>
        <w:spacing w:before="200" w:after="60"/>
      </w:pPr>
      <w:r>
        <w:rPr>
          <w:rFonts w:ascii="Arial" w:cs="Arial" w:eastAsia="Arial" w:hAnsi="Arial"/>
          <w:b/>
          <w:bCs/>
          <w:color w:val="334155"/>
          <w:sz w:val="22"/>
          <w:szCs w:val="22"/>
        </w:rPr>
        <w:t xml:space="preserve">5.3.3 Documentation</w:t>
      </w:r>
    </w:p>
    <w:p>
      <w:pPr>
        <w:spacing w:before="0" w:after="120"/>
      </w:pPr>
      <w:r>
        <w:rPr>
          <w:rFonts w:ascii="Arial" w:cs="Arial" w:eastAsia="Arial" w:hAnsi="Arial"/>
          <w:color w:val="334155"/>
          <w:sz w:val="22"/>
          <w:szCs w:val="22"/>
        </w:rPr>
        <w:t xml:space="preserve">Model 3 documentation produced with AI assistance included:</w:t>
      </w:r>
    </w:p>
    <w:p>
      <w:pPr>
        <w:pStyle w:val="ListParagraph"/>
        <w:numPr>
          <w:ilvl w:val="0"/>
          <w:numId w:val="2"/>
        </w:numPr>
        <w:spacing w:before="0" w:after="60"/>
      </w:pPr>
      <w:r>
        <w:rPr>
          <w:rFonts w:ascii="Arial" w:cs="Arial" w:eastAsia="Arial" w:hAnsi="Arial"/>
          <w:color w:val="334155"/>
          <w:sz w:val="22"/>
          <w:szCs w:val="22"/>
        </w:rPr>
        <w:t xml:space="preserve">ROI formula documentation for the PM explainer — translating the code-level formula into plain language for non-technical stakeholders, including the 'monthly savings × 12 ÷ system cost' explanation that directly addressed the PM's ROI question</w:t>
      </w:r>
    </w:p>
    <w:p>
      <w:pPr>
        <w:pStyle w:val="ListParagraph"/>
        <w:numPr>
          <w:ilvl w:val="0"/>
          <w:numId w:val="2"/>
        </w:numPr>
        <w:spacing w:before="0" w:after="60"/>
      </w:pPr>
      <w:r>
        <w:rPr>
          <w:rFonts w:ascii="Arial" w:cs="Arial" w:eastAsia="Arial" w:hAnsi="Arial"/>
          <w:color w:val="334155"/>
          <w:sz w:val="22"/>
          <w:szCs w:val="22"/>
        </w:rPr>
        <w:t xml:space="preserve">API contract — request/response schema, field-by-field validation rules, error codes</w:t>
      </w:r>
    </w:p>
    <w:p>
      <w:pPr>
        <w:pStyle w:val="ListParagraph"/>
        <w:numPr>
          <w:ilvl w:val="0"/>
          <w:numId w:val="2"/>
        </w:numPr>
        <w:spacing w:before="0" w:after="60"/>
      </w:pPr>
      <w:r>
        <w:rPr>
          <w:rFonts w:ascii="Arial" w:cs="Arial" w:eastAsia="Arial" w:hAnsi="Arial"/>
          <w:color w:val="334155"/>
          <w:sz w:val="22"/>
          <w:szCs w:val="22"/>
        </w:rPr>
        <w:t xml:space="preserve">Security implementation notes for the cybersecurity team</w:t>
      </w:r>
    </w:p>
    <w:p>
      <w:pPr>
        <w:pStyle w:val="ListParagraph"/>
        <w:numPr>
          <w:ilvl w:val="0"/>
          <w:numId w:val="2"/>
        </w:numPr>
        <w:spacing w:before="0" w:after="60"/>
      </w:pPr>
      <w:r>
        <w:rPr>
          <w:rFonts w:ascii="Arial" w:cs="Arial" w:eastAsia="Arial" w:hAnsi="Arial"/>
          <w:color w:val="334155"/>
          <w:sz w:val="22"/>
          <w:szCs w:val="22"/>
        </w:rPr>
        <w:t xml:space="preserve">README update with security overview and formula explanation</w:t>
      </w:r>
    </w:p>
    <w:p>
      <w:pPr>
        <w:spacing w:before="80" w:after="80"/>
      </w:pPr>
      <w:r>
        <w:t xml:space="preserve"/>
      </w:r>
    </w:p>
    <w:p>
      <w:pPr>
        <w:pStyle w:val="Heading2"/>
        <w:spacing w:before="280" w:after="80"/>
      </w:pPr>
      <w:r>
        <w:rPr>
          <w:rFonts w:ascii="Arial" w:cs="Arial" w:eastAsia="Arial" w:hAnsi="Arial"/>
          <w:b/>
          <w:bCs/>
          <w:color w:val="0D9488"/>
          <w:sz w:val="26"/>
          <w:szCs w:val="26"/>
        </w:rPr>
        <w:t xml:space="preserve">5.4 Time Saved Estimates — Model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2000"/>
        <w:gridCol w:w="1660"/>
      </w:tblGrid>
      <w:tr>
        <w:trPr>
          <w:tblHeader/>
        </w:trPr>
        <w:tc>
          <w:tcPr>
            <w:tcW w:type="dxa" w:w="3500"/>
            <w:tcBorders>
              <w:top w:val="single" w:color="CCCCCC" w:sz="1"/>
              <w:left w:val="single" w:color="CCCCCC" w:sz="1"/>
              <w:bottom w:val="single" w:color="CCCCCC" w:sz="1"/>
              <w:right w:val="single" w:color="CCCCCC" w:sz="1"/>
            </w:tcBorders>
            <w:shd w:fill="0D9488"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2200"/>
            <w:tcBorders>
              <w:top w:val="single" w:color="CCCCCC" w:sz="1"/>
              <w:left w:val="single" w:color="CCCCCC" w:sz="1"/>
              <w:bottom w:val="single" w:color="CCCCCC" w:sz="1"/>
              <w:right w:val="single" w:color="CCCCCC" w:sz="1"/>
            </w:tcBorders>
            <w:shd w:fill="0D9488" w:val="clear"/>
            <w:tcMar>
              <w:top w:type="dxa" w:w="100"/>
              <w:left w:type="dxa" w:w="140"/>
              <w:bottom w:type="dxa" w:w="100"/>
              <w:right w:type="dxa" w:w="140"/>
            </w:tcMar>
          </w:tcPr>
          <w:p>
            <w:r>
              <w:rPr>
                <w:rFonts w:ascii="Arial" w:cs="Arial" w:eastAsia="Arial" w:hAnsi="Arial"/>
                <w:b/>
                <w:bCs/>
                <w:color w:val="FFFFFF"/>
                <w:sz w:val="20"/>
                <w:szCs w:val="20"/>
              </w:rPr>
              <w:t xml:space="preserve">Estimated Manual Time</w:t>
            </w:r>
          </w:p>
        </w:tc>
        <w:tc>
          <w:tcPr>
            <w:tcW w:type="dxa" w:w="2000"/>
            <w:tcBorders>
              <w:top w:val="single" w:color="CCCCCC" w:sz="1"/>
              <w:left w:val="single" w:color="CCCCCC" w:sz="1"/>
              <w:bottom w:val="single" w:color="CCCCCC" w:sz="1"/>
              <w:right w:val="single" w:color="CCCCCC" w:sz="1"/>
            </w:tcBorders>
            <w:shd w:fill="0D9488" w:val="clear"/>
            <w:tcMar>
              <w:top w:type="dxa" w:w="100"/>
              <w:left w:type="dxa" w:w="140"/>
              <w:bottom w:type="dxa" w:w="100"/>
              <w:right w:type="dxa" w:w="140"/>
            </w:tcMar>
          </w:tcPr>
          <w:p>
            <w:r>
              <w:rPr>
                <w:rFonts w:ascii="Arial" w:cs="Arial" w:eastAsia="Arial" w:hAnsi="Arial"/>
                <w:b/>
                <w:bCs/>
                <w:color w:val="FFFFFF"/>
                <w:sz w:val="20"/>
                <w:szCs w:val="20"/>
              </w:rPr>
              <w:t xml:space="preserve">AI-Assisted Time</w:t>
            </w:r>
          </w:p>
        </w:tc>
        <w:tc>
          <w:tcPr>
            <w:tcW w:type="dxa" w:w="1660"/>
            <w:tcBorders>
              <w:top w:val="single" w:color="CCCCCC" w:sz="1"/>
              <w:left w:val="single" w:color="CCCCCC" w:sz="1"/>
              <w:bottom w:val="single" w:color="CCCCCC" w:sz="1"/>
              <w:right w:val="single" w:color="CCCCCC" w:sz="1"/>
            </w:tcBorders>
            <w:shd w:fill="0D9488" w:val="clear"/>
            <w:tcMar>
              <w:top w:type="dxa" w:w="100"/>
              <w:left w:type="dxa" w:w="140"/>
              <w:bottom w:type="dxa" w:w="100"/>
              <w:right w:type="dxa" w:w="140"/>
            </w:tcMar>
          </w:tcPr>
          <w:p>
            <w:r>
              <w:rPr>
                <w:rFonts w:ascii="Arial" w:cs="Arial" w:eastAsia="Arial" w:hAnsi="Arial"/>
                <w:b/>
                <w:bCs/>
                <w:color w:val="FFFFFF"/>
                <w:sz w:val="20"/>
                <w:szCs w:val="20"/>
              </w:rPr>
              <w:t xml:space="preserve">Time Saved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ROI formula alignment and refactor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4–6 hours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~2 hours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~65%</w:t>
            </w:r>
          </w:p>
        </w:tc>
      </w:tr>
      <w:tr>
        <w:tc>
          <w:tcPr>
            <w:tcW w:type="dxa" w:w="350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Security implementation (all validators)</w:t>
            </w:r>
          </w:p>
        </w:tc>
        <w:tc>
          <w:tcPr>
            <w:tcW w:type="dxa" w:w="220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3–4 hours</w:t>
            </w:r>
          </w:p>
        </w:tc>
        <w:tc>
          <w:tcPr>
            <w:tcW w:type="dxa" w:w="200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~1.5 hours</w:t>
            </w:r>
          </w:p>
        </w:tc>
        <w:tc>
          <w:tcPr>
            <w:tcW w:type="dxa" w:w="166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~60%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Formula verification and trace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2–3 hours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~1 hour</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~65%</w:t>
            </w:r>
          </w:p>
        </w:tc>
      </w:tr>
      <w:tr>
        <w:tc>
          <w:tcPr>
            <w:tcW w:type="dxa" w:w="350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PM ROI explainer documentation</w:t>
            </w:r>
          </w:p>
        </w:tc>
        <w:tc>
          <w:tcPr>
            <w:tcW w:type="dxa" w:w="220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2–3 hours</w:t>
            </w:r>
          </w:p>
        </w:tc>
        <w:tc>
          <w:tcPr>
            <w:tcW w:type="dxa" w:w="200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~45 minutes</w:t>
            </w:r>
          </w:p>
        </w:tc>
        <w:tc>
          <w:tcPr>
            <w:tcW w:type="dxa" w:w="166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~70%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API contract and README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2–3 hours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~1 hour</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~65%</w:t>
            </w:r>
          </w:p>
        </w:tc>
      </w:tr>
    </w:tbl>
    <w:p>
      <w:pPr>
        <w:spacing w:before="80" w:after="80"/>
      </w:pPr>
      <w:r>
        <w:t xml:space="preserve"/>
      </w:r>
    </w:p>
    <w:p>
      <w:pPr>
        <w:spacing w:before="60" w:after="200"/>
        <w:jc w:val="center"/>
      </w:pPr>
      <w:r>
        <w:rPr>
          <w:rFonts w:ascii="Arial" w:cs="Arial" w:eastAsia="Arial" w:hAnsi="Arial"/>
          <w:i/>
          <w:iCs/>
          <w:color w:val="64748B"/>
          <w:sz w:val="18"/>
          <w:szCs w:val="18"/>
        </w:rPr>
        <w:t xml:space="preserve">Table 5.1: Model 3 estimated time savings from AI-assisted workflows</w:t>
      </w:r>
    </w:p>
    <w:p>
      <w:pPr>
        <w:spacing w:before="120" w:after="120"/>
      </w:pPr>
      <w:r>
        <w:t xml:space="preserve"/>
      </w:r>
    </w:p>
    <w:p>
      <w:pPr>
        <w:pBdr>
          <w:bottom w:val="single" w:color="E2E8F0" w:sz="4" w:space="1"/>
        </w:pBdr>
        <w:spacing w:before="120" w:after="120"/>
      </w:pPr>
    </w:p>
    <w:p>
      <w:r>
        <w:br w:type="page"/>
      </w:r>
    </w:p>
    <w:p>
      <w:pPr>
        <w:pStyle w:val="Heading1"/>
        <w:spacing w:before="360" w:after="120"/>
      </w:pPr>
      <w:r>
        <w:rPr>
          <w:rFonts w:ascii="Arial" w:cs="Arial" w:eastAsia="Arial" w:hAnsi="Arial"/>
          <w:b/>
          <w:bCs/>
          <w:color w:val="0F172A"/>
          <w:sz w:val="32"/>
          <w:szCs w:val="32"/>
        </w:rPr>
        <w:t xml:space="preserve">Section 6: Model 4 — Recommendation Engine &amp; Orchestration</w:t>
      </w:r>
    </w:p>
    <w:p>
      <w:pPr>
        <w:spacing w:before="0" w:after="120"/>
      </w:pPr>
      <w:r>
        <w:rPr>
          <w:rFonts w:ascii="Arial" w:cs="Arial" w:eastAsia="Arial" w:hAnsi="Arial"/>
          <w:color w:val="334155"/>
          <w:sz w:val="22"/>
          <w:szCs w:val="22"/>
        </w:rPr>
        <w:t xml:space="preserve">Model 4 is the orchestration layer of the SolarSense DSE — it coordinates Models 1, 2, and 3, implements intelligent solar system sizing, calculates diesel replacement economics, resolves country-specific tariffs from GPS coordinates, and produces the final viability verdict with a confidence-weighted score. It is the most architecturally complex component of the system and underwent the most significant evolution over the project period.</w:t>
      </w:r>
    </w:p>
    <w:p>
      <w:pPr>
        <w:spacing w:before="0" w:after="120"/>
      </w:pPr>
      <w:r>
        <w:rPr>
          <w:rFonts w:ascii="Arial" w:cs="Arial" w:eastAsia="Arial" w:hAnsi="Arial"/>
          <w:color w:val="334155"/>
          <w:sz w:val="22"/>
          <w:szCs w:val="22"/>
        </w:rPr>
        <w:t xml:space="preserve">The base orchestration layer was built by Bella. All subsequent enhancement, pre-deployment bug fixing, gateway integration, and production deployment were carried out by the DSE lead (Tessa), with AI tools playing a central role throughout.</w:t>
      </w:r>
    </w:p>
    <w:p>
      <w:pPr>
        <w:spacing w:before="80" w:after="80"/>
      </w:pPr>
      <w:r>
        <w:t xml:space="preserve"/>
      </w:r>
    </w:p>
    <w:p>
      <w:pPr>
        <w:pStyle w:val="Heading2"/>
        <w:spacing w:before="280" w:after="80"/>
      </w:pPr>
      <w:r>
        <w:rPr>
          <w:rFonts w:ascii="Arial" w:cs="Arial" w:eastAsia="Arial" w:hAnsi="Arial"/>
          <w:b/>
          <w:bCs/>
          <w:color w:val="0D9488"/>
          <w:sz w:val="26"/>
          <w:szCs w:val="26"/>
        </w:rPr>
        <w:t xml:space="preserve">6.1 Model 4 Architecture Overview</w:t>
      </w:r>
    </w:p>
    <w:p>
      <w:pPr>
        <w:spacing w:before="0" w:after="120"/>
      </w:pPr>
      <w:r>
        <w:rPr>
          <w:rFonts w:ascii="Arial" w:cs="Arial" w:eastAsia="Arial" w:hAnsi="Arial"/>
          <w:color w:val="334155"/>
          <w:sz w:val="22"/>
          <w:szCs w:val="22"/>
        </w:rPr>
        <w:t xml:space="preserve">Model 4 operates as a single POST /api/v1/analyze endpoint that:</w:t>
      </w:r>
    </w:p>
    <w:p>
      <w:pPr>
        <w:pStyle w:val="ListParagraph"/>
        <w:numPr>
          <w:ilvl w:val="0"/>
          <w:numId w:val="2"/>
        </w:numPr>
        <w:spacing w:before="0" w:after="60"/>
      </w:pPr>
      <w:r>
        <w:rPr>
          <w:rFonts w:ascii="Arial" w:cs="Arial" w:eastAsia="Arial" w:hAnsi="Arial"/>
          <w:color w:val="334155"/>
          <w:sz w:val="22"/>
          <w:szCs w:val="22"/>
        </w:rPr>
        <w:t xml:space="preserve">Accepts a business profile (location, equipment, diesel usage, operating parameters)</w:t>
      </w:r>
    </w:p>
    <w:p>
      <w:pPr>
        <w:pStyle w:val="ListParagraph"/>
        <w:numPr>
          <w:ilvl w:val="0"/>
          <w:numId w:val="2"/>
        </w:numPr>
        <w:spacing w:before="0" w:after="60"/>
      </w:pPr>
      <w:r>
        <w:rPr>
          <w:rFonts w:ascii="Arial" w:cs="Arial" w:eastAsia="Arial" w:hAnsi="Arial"/>
          <w:color w:val="334155"/>
          <w:sz w:val="22"/>
          <w:szCs w:val="22"/>
        </w:rPr>
        <w:t xml:space="preserve">Resolves the country and grid tariff from GPS coordinates using coordinate bounding boxes</w:t>
      </w:r>
    </w:p>
    <w:p>
      <w:pPr>
        <w:pStyle w:val="ListParagraph"/>
        <w:numPr>
          <w:ilvl w:val="0"/>
          <w:numId w:val="2"/>
        </w:numPr>
        <w:spacing w:before="0" w:after="60"/>
      </w:pPr>
      <w:r>
        <w:rPr>
          <w:rFonts w:ascii="Arial" w:cs="Arial" w:eastAsia="Arial" w:hAnsi="Arial"/>
          <w:color w:val="334155"/>
          <w:sz w:val="22"/>
          <w:szCs w:val="22"/>
        </w:rPr>
        <w:t xml:space="preserve">Calls Model 1 to estimate monthly consumption</w:t>
      </w:r>
    </w:p>
    <w:p>
      <w:pPr>
        <w:pStyle w:val="ListParagraph"/>
        <w:numPr>
          <w:ilvl w:val="0"/>
          <w:numId w:val="2"/>
        </w:numPr>
        <w:spacing w:before="0" w:after="60"/>
      </w:pPr>
      <w:r>
        <w:rPr>
          <w:rFonts w:ascii="Arial" w:cs="Arial" w:eastAsia="Arial" w:hAnsi="Arial"/>
          <w:color w:val="334155"/>
          <w:sz w:val="22"/>
          <w:szCs w:val="22"/>
        </w:rPr>
        <w:t xml:space="preserve">Calls Model 2 to predict solar generation for the current month and full 12-month climatology</w:t>
      </w:r>
    </w:p>
    <w:p>
      <w:pPr>
        <w:pStyle w:val="ListParagraph"/>
        <w:numPr>
          <w:ilvl w:val="0"/>
          <w:numId w:val="2"/>
        </w:numPr>
        <w:spacing w:before="0" w:after="60"/>
      </w:pPr>
      <w:r>
        <w:rPr>
          <w:rFonts w:ascii="Arial" w:cs="Arial" w:eastAsia="Arial" w:hAnsi="Arial"/>
          <w:color w:val="334155"/>
          <w:sz w:val="22"/>
          <w:szCs w:val="22"/>
        </w:rPr>
        <w:t xml:space="preserve">Sizes the solar system to achieve 90% consumption coverage, constrained to a maximum of 50m² ($20,000)</w:t>
      </w:r>
    </w:p>
    <w:p>
      <w:pPr>
        <w:pStyle w:val="ListParagraph"/>
        <w:numPr>
          <w:ilvl w:val="0"/>
          <w:numId w:val="2"/>
        </w:numPr>
        <w:spacing w:before="0" w:after="60"/>
      </w:pPr>
      <w:r>
        <w:rPr>
          <w:rFonts w:ascii="Arial" w:cs="Arial" w:eastAsia="Arial" w:hAnsi="Arial"/>
          <w:color w:val="334155"/>
          <w:sz w:val="22"/>
          <w:szCs w:val="22"/>
        </w:rPr>
        <w:t xml:space="preserve">Applies country-adjusted tiered installation cost pricing (South Africa 0.90× through Nigeria 1.15×)</w:t>
      </w:r>
    </w:p>
    <w:p>
      <w:pPr>
        <w:pStyle w:val="ListParagraph"/>
        <w:numPr>
          <w:ilvl w:val="0"/>
          <w:numId w:val="2"/>
        </w:numPr>
        <w:spacing w:before="0" w:after="60"/>
      </w:pPr>
      <w:r>
        <w:rPr>
          <w:rFonts w:ascii="Arial" w:cs="Arial" w:eastAsia="Arial" w:hAnsi="Arial"/>
          <w:color w:val="334155"/>
          <w:sz w:val="22"/>
          <w:szCs w:val="22"/>
        </w:rPr>
        <w:t xml:space="preserve">Calculates diesel replacement economics and blended tariff for generator-using businesses</w:t>
      </w:r>
    </w:p>
    <w:p>
      <w:pPr>
        <w:pStyle w:val="ListParagraph"/>
        <w:numPr>
          <w:ilvl w:val="0"/>
          <w:numId w:val="2"/>
        </w:numPr>
        <w:spacing w:before="0" w:after="60"/>
      </w:pPr>
      <w:r>
        <w:rPr>
          <w:rFonts w:ascii="Arial" w:cs="Arial" w:eastAsia="Arial" w:hAnsi="Arial"/>
          <w:color w:val="334155"/>
          <w:sz w:val="22"/>
          <w:szCs w:val="22"/>
        </w:rPr>
        <w:t xml:space="preserve">Calls Model 3 with the blended tariff and sized system cost for ROI calculation</w:t>
      </w:r>
    </w:p>
    <w:p>
      <w:pPr>
        <w:pStyle w:val="ListParagraph"/>
        <w:numPr>
          <w:ilvl w:val="0"/>
          <w:numId w:val="2"/>
        </w:numPr>
        <w:spacing w:before="0" w:after="60"/>
      </w:pPr>
      <w:r>
        <w:rPr>
          <w:rFonts w:ascii="Arial" w:cs="Arial" w:eastAsia="Arial" w:hAnsi="Arial"/>
          <w:color w:val="334155"/>
          <w:sz w:val="22"/>
          <w:szCs w:val="22"/>
        </w:rPr>
        <w:t xml:space="preserve">Generates a viability verdict (Highly Viable / Moderately Viable / Not Viable) with a composite score</w:t>
      </w:r>
    </w:p>
    <w:p>
      <w:pPr>
        <w:spacing w:before="80" w:after="80"/>
      </w:pPr>
      <w:r>
        <w:t xml:space="preserve"/>
      </w:r>
    </w:p>
    <w:p>
      <w:pPr>
        <w:pStyle w:val="Heading2"/>
        <w:spacing w:before="280" w:after="80"/>
      </w:pPr>
      <w:r>
        <w:rPr>
          <w:rFonts w:ascii="Arial" w:cs="Arial" w:eastAsia="Arial" w:hAnsi="Arial"/>
          <w:b/>
          <w:bCs/>
          <w:color w:val="0D9488"/>
          <w:sz w:val="26"/>
          <w:szCs w:val="26"/>
        </w:rPr>
        <w:t xml:space="preserve">6.2 Diesel Replacement Economics — The Key Innovation</w:t>
      </w:r>
    </w:p>
    <w:p>
      <w:pPr>
        <w:spacing w:before="0" w:after="120"/>
      </w:pPr>
      <w:r>
        <w:rPr>
          <w:rFonts w:ascii="Arial" w:cs="Arial" w:eastAsia="Arial" w:hAnsi="Arial"/>
          <w:color w:val="334155"/>
          <w:sz w:val="22"/>
          <w:szCs w:val="22"/>
        </w:rPr>
        <w:t xml:space="preserve">The diesel replacement economics engine was identified as the highest-impact addition to Model 4. Without it, Nigerian and Ghanaian businesses running diesel generators — which represent the majority of the target market — would receive ROI calculations based on the grid electricity rate ($0.08/kWh for Nigeria) rather than their actual blended energy cost. This would systematically understate the value of solar for the users who stand to benefit most.</w:t>
      </w:r>
    </w:p>
    <w:p>
      <w:pPr>
        <w:spacing w:before="0" w:after="120"/>
      </w:pPr>
      <w:r>
        <w:rPr>
          <w:rFonts w:ascii="Arial" w:cs="Arial" w:eastAsia="Arial" w:hAnsi="Arial"/>
          <w:color w:val="334155"/>
          <w:sz w:val="22"/>
          <w:szCs w:val="22"/>
        </w:rPr>
        <w:t xml:space="preserve">Claude was used to help design the blended tariff calculation, including the diesel fuel consumption efficiency figure (0.40 L/kWh at SME partial load — corrected during pre-deployment testing from an initial value of 0.25 L/kWh which overstated generator efficiency), maintenance cost parameterisation, and the weighted average formula for the blended tariff. The impact was quantified: businesses running generators 12 hours per day show ROI of approximately 6.6% under the diesel economics model versus 2.4% under grid-only logic — a 2.75× improvement in accuracy for this user segment.</w:t>
      </w:r>
    </w:p>
    <w:p>
      <w:pPr>
        <w:spacing w:before="80" w:after="80"/>
      </w:pPr>
      <w:r>
        <w:t xml:space="preserve"/>
      </w:r>
    </w:p>
    <w:p>
      <w:pPr>
        <w:pStyle w:val="Heading2"/>
        <w:spacing w:before="280" w:after="80"/>
      </w:pPr>
      <w:r>
        <w:rPr>
          <w:rFonts w:ascii="Arial" w:cs="Arial" w:eastAsia="Arial" w:hAnsi="Arial"/>
          <w:b/>
          <w:bCs/>
          <w:color w:val="0D9488"/>
          <w:sz w:val="26"/>
          <w:szCs w:val="26"/>
        </w:rPr>
        <w:t xml:space="preserve">6.3 Pre-Deployment Bug Fixes</w:t>
      </w:r>
    </w:p>
    <w:p>
      <w:pPr>
        <w:spacing w:before="0" w:after="120"/>
      </w:pPr>
      <w:r>
        <w:rPr>
          <w:rFonts w:ascii="Arial" w:cs="Arial" w:eastAsia="Arial" w:hAnsi="Arial"/>
          <w:color w:val="334155"/>
          <w:sz w:val="22"/>
          <w:szCs w:val="22"/>
        </w:rPr>
        <w:t xml:space="preserve">Five pre-deployment defects were identified and resolved in a single session immediately before deployment, all with AI assistance:</w:t>
      </w:r>
    </w:p>
    <w:p>
      <w:pPr>
        <w:spacing w:before="80" w:after="8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500"/>
        <w:gridCol w:w="2160"/>
      </w:tblGrid>
      <w:tr>
        <w:trPr>
          <w:tblHeader/>
        </w:trPr>
        <w:tc>
          <w:tcPr>
            <w:tcW w:type="dxa" w:w="1800"/>
            <w:tcBorders>
              <w:top w:val="single" w:color="CCCCCC" w:sz="1"/>
              <w:left w:val="single" w:color="CCCCCC" w:sz="1"/>
              <w:bottom w:val="single" w:color="CCCCCC" w:sz="1"/>
              <w:right w:val="single" w:color="CCCCCC" w:sz="1"/>
            </w:tcBorders>
            <w:shd w:fill="0D9488" w:val="clear"/>
            <w:tcMar>
              <w:top w:type="dxa" w:w="100"/>
              <w:left w:type="dxa" w:w="140"/>
              <w:bottom w:type="dxa" w:w="100"/>
              <w:right w:type="dxa" w:w="140"/>
            </w:tcMar>
          </w:tcPr>
          <w:p>
            <w:r>
              <w:rPr>
                <w:rFonts w:ascii="Arial" w:cs="Arial" w:eastAsia="Arial" w:hAnsi="Arial"/>
                <w:b/>
                <w:bCs/>
                <w:color w:val="FFFFFF"/>
                <w:sz w:val="20"/>
                <w:szCs w:val="20"/>
              </w:rPr>
              <w:t xml:space="preserve">Bug</w:t>
            </w:r>
          </w:p>
        </w:tc>
        <w:tc>
          <w:tcPr>
            <w:tcW w:type="dxa" w:w="2000"/>
            <w:tcBorders>
              <w:top w:val="single" w:color="CCCCCC" w:sz="1"/>
              <w:left w:val="single" w:color="CCCCCC" w:sz="1"/>
              <w:bottom w:val="single" w:color="CCCCCC" w:sz="1"/>
              <w:right w:val="single" w:color="CCCCCC" w:sz="1"/>
            </w:tcBorders>
            <w:shd w:fill="0D9488" w:val="clear"/>
            <w:tcMar>
              <w:top w:type="dxa" w:w="100"/>
              <w:left w:type="dxa" w:w="140"/>
              <w:bottom w:type="dxa" w:w="100"/>
              <w:right w:type="dxa" w:w="140"/>
            </w:tcMar>
          </w:tcPr>
          <w:p>
            <w:r>
              <w:rPr>
                <w:rFonts w:ascii="Arial" w:cs="Arial" w:eastAsia="Arial" w:hAnsi="Arial"/>
                <w:b/>
                <w:bCs/>
                <w:color w:val="FFFFFF"/>
                <w:sz w:val="20"/>
                <w:szCs w:val="20"/>
              </w:rPr>
              <w:t xml:space="preserve">Symptom</w:t>
            </w:r>
          </w:p>
        </w:tc>
        <w:tc>
          <w:tcPr>
            <w:tcW w:type="dxa" w:w="2500"/>
            <w:tcBorders>
              <w:top w:val="single" w:color="CCCCCC" w:sz="1"/>
              <w:left w:val="single" w:color="CCCCCC" w:sz="1"/>
              <w:bottom w:val="single" w:color="CCCCCC" w:sz="1"/>
              <w:right w:val="single" w:color="CCCCCC" w:sz="1"/>
            </w:tcBorders>
            <w:shd w:fill="0D9488" w:val="clear"/>
            <w:tcMar>
              <w:top w:type="dxa" w:w="100"/>
              <w:left w:type="dxa" w:w="140"/>
              <w:bottom w:type="dxa" w:w="100"/>
              <w:right w:type="dxa" w:w="140"/>
            </w:tcMar>
          </w:tcPr>
          <w:p>
            <w:r>
              <w:rPr>
                <w:rFonts w:ascii="Arial" w:cs="Arial" w:eastAsia="Arial" w:hAnsi="Arial"/>
                <w:b/>
                <w:bCs/>
                <w:color w:val="FFFFFF"/>
                <w:sz w:val="20"/>
                <w:szCs w:val="20"/>
              </w:rPr>
              <w:t xml:space="preserve">Root Cause</w:t>
            </w:r>
          </w:p>
        </w:tc>
        <w:tc>
          <w:tcPr>
            <w:tcW w:type="dxa" w:w="2160"/>
            <w:tcBorders>
              <w:top w:val="single" w:color="CCCCCC" w:sz="1"/>
              <w:left w:val="single" w:color="CCCCCC" w:sz="1"/>
              <w:bottom w:val="single" w:color="CCCCCC" w:sz="1"/>
              <w:right w:val="single" w:color="CCCCCC" w:sz="1"/>
            </w:tcBorders>
            <w:shd w:fill="0D9488" w:val="clear"/>
            <w:tcMar>
              <w:top w:type="dxa" w:w="100"/>
              <w:left w:type="dxa" w:w="140"/>
              <w:bottom w:type="dxa" w:w="100"/>
              <w:right w:type="dxa" w:w="140"/>
            </w:tcMar>
          </w:tcPr>
          <w:p>
            <w:r>
              <w:rPr>
                <w:rFonts w:ascii="Arial" w:cs="Arial" w:eastAsia="Arial" w:hAnsi="Arial"/>
                <w:b/>
                <w:bCs/>
                <w:color w:val="FFFFFF"/>
                <w:sz w:val="20"/>
                <w:szCs w:val="20"/>
              </w:rPr>
              <w:t xml:space="preserve">Fix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monthly_savings null key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Model 3 response field missing in Model 4 output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Key name mismatch between Model 3 response and Model 4 extraction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Corrected key reference</w:t>
            </w:r>
          </w:p>
        </w:tc>
      </w:tr>
      <w:tr>
        <w:tc>
          <w:tcPr>
            <w:tcW w:type="dxa" w:w="180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Lagos 503 error</w:t>
            </w:r>
          </w:p>
        </w:tc>
        <w:tc>
          <w:tcPr>
            <w:tcW w:type="dxa" w:w="200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Requests for Lagos returning service unavailable</w:t>
            </w:r>
          </w:p>
        </w:tc>
        <w:tc>
          <w:tcPr>
            <w:tcW w:type="dxa" w:w="250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Test coordinates outside Model 2 validation bounds (pre-boundary fix)</w:t>
            </w:r>
          </w:p>
        </w:tc>
        <w:tc>
          <w:tcPr>
            <w:tcW w:type="dxa" w:w="216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Updated test coordinates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System cost cap error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50m² cap incorrectly translated to cost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Calculation error in maximum system cost ($20k)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Corrected cap to 50m²/$20,000</w:t>
            </w:r>
          </w:p>
        </w:tc>
      </w:tr>
      <w:tr>
        <w:tc>
          <w:tcPr>
            <w:tcW w:type="dxa" w:w="180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Viability scoring broken for diesel</w:t>
            </w:r>
          </w:p>
        </w:tc>
        <w:tc>
          <w:tcPr>
            <w:tcW w:type="dxa" w:w="200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Diesel businesses with 40–50% ROI scoring as 'Not Viable'</w:t>
            </w:r>
          </w:p>
        </w:tc>
        <w:tc>
          <w:tcPr>
            <w:tcW w:type="dxa" w:w="250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Linear scoring scale did not cover diesel ROI range</w:t>
            </w:r>
          </w:p>
        </w:tc>
        <w:tc>
          <w:tcPr>
            <w:tcW w:type="dxa" w:w="216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Replaced with tiered scoring scale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Diesel fuel efficiency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Diesel cost understated by ~40%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Fuel consumption set to 0.25 L/kWh (compressed air ratio)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Corrected to 0.40 L/kWh (SME partial load)</w:t>
            </w:r>
          </w:p>
        </w:tc>
      </w:tr>
    </w:tbl>
    <w:p>
      <w:pPr>
        <w:spacing w:before="80" w:after="80"/>
      </w:pPr>
      <w:r>
        <w:t xml:space="preserve"/>
      </w:r>
    </w:p>
    <w:p>
      <w:pPr>
        <w:spacing w:before="60" w:after="200"/>
        <w:jc w:val="center"/>
      </w:pPr>
      <w:r>
        <w:rPr>
          <w:rFonts w:ascii="Arial" w:cs="Arial" w:eastAsia="Arial" w:hAnsi="Arial"/>
          <w:i/>
          <w:iCs/>
          <w:color w:val="64748B"/>
          <w:sz w:val="18"/>
          <w:szCs w:val="18"/>
        </w:rPr>
        <w:t xml:space="preserve">Table 6.1: Model 4 pre-deployment defects resolved with AI assistance</w:t>
      </w:r>
    </w:p>
    <w:p>
      <w:pPr>
        <w:spacing w:before="120" w:after="120"/>
      </w:pPr>
      <w:r>
        <w:t xml:space="preserve"/>
      </w:r>
    </w:p>
    <w:p>
      <w:pPr>
        <w:spacing w:before="0" w:after="120"/>
      </w:pPr>
      <w:r>
        <w:rPr>
          <w:rFonts w:ascii="Arial" w:cs="Arial" w:eastAsia="Arial" w:hAnsi="Arial"/>
          <w:color w:val="334155"/>
          <w:sz w:val="22"/>
          <w:szCs w:val="22"/>
        </w:rPr>
        <w:t xml:space="preserve">AI assistance in diagnosing these bugs followed the same pattern used throughout the project: the relevant code and observed output were provided, the expected behaviour was described, and Claude generated a hypothesis and proposed fix. Each fix was implemented and validated by the DSE lead against test cases before deployment.</w:t>
      </w:r>
    </w:p>
    <w:p>
      <w:pPr>
        <w:spacing w:before="80" w:after="80"/>
      </w:pPr>
      <w:r>
        <w:t xml:space="preserve"/>
      </w:r>
    </w:p>
    <w:p>
      <w:pPr>
        <w:pStyle w:val="Heading2"/>
        <w:spacing w:before="280" w:after="80"/>
      </w:pPr>
      <w:r>
        <w:rPr>
          <w:rFonts w:ascii="Arial" w:cs="Arial" w:eastAsia="Arial" w:hAnsi="Arial"/>
          <w:b/>
          <w:bCs/>
          <w:color w:val="0D9488"/>
          <w:sz w:val="26"/>
          <w:szCs w:val="26"/>
        </w:rPr>
        <w:t xml:space="preserve">6.4 Gateway Integration and Unified Architecture</w:t>
      </w:r>
    </w:p>
    <w:p>
      <w:pPr>
        <w:spacing w:before="0" w:after="120"/>
      </w:pPr>
      <w:r>
        <w:rPr>
          <w:rFonts w:ascii="Arial" w:cs="Arial" w:eastAsia="Arial" w:hAnsi="Arial"/>
          <w:color w:val="334155"/>
          <w:sz w:val="22"/>
          <w:szCs w:val="22"/>
        </w:rPr>
        <w:t xml:space="preserve">A critical architectural decision in Week 2 was integrating all four models into a single unified Flask gateway (api/main.py) deployed as a single Railway service. This decision was driven by Railway's deployment constraints and required refactoring Model 4's application factory pattern to be consistent with Models 1–3, routing /api/v1/analyze through a MultiModelDispatcher, and ensuring all four models were served from a single deployment endpoint.</w:t>
      </w:r>
    </w:p>
    <w:p>
      <w:pPr>
        <w:spacing w:before="0" w:after="120"/>
      </w:pPr>
      <w:r>
        <w:rPr>
          <w:rFonts w:ascii="Arial" w:cs="Arial" w:eastAsia="Arial" w:hAnsi="Arial"/>
          <w:color w:val="334155"/>
          <w:sz w:val="22"/>
          <w:szCs w:val="22"/>
        </w:rPr>
        <w:t xml:space="preserve">Cursor AI was the primary tool for this refactor — the task required simultaneous awareness of four model codebases, their routing patterns, error handling conventions, and security implementations. Cursor's large context window was specifically chosen for this task over Claude because it could maintain the full codebase in context across the multi-step refactor. The DSE lead directed the refactor, specified the target architecture, and validated each stage of the output.</w:t>
      </w:r>
    </w:p>
    <w:p>
      <w:pPr>
        <w:spacing w:before="80" w:after="80"/>
      </w:pPr>
      <w:r>
        <w:t xml:space="preserve"/>
      </w:r>
    </w:p>
    <w:p>
      <w:pPr>
        <w:pStyle w:val="Heading2"/>
        <w:spacing w:before="280" w:after="80"/>
      </w:pPr>
      <w:r>
        <w:rPr>
          <w:rFonts w:ascii="Arial" w:cs="Arial" w:eastAsia="Arial" w:hAnsi="Arial"/>
          <w:b/>
          <w:bCs/>
          <w:color w:val="0D9488"/>
          <w:sz w:val="26"/>
          <w:szCs w:val="26"/>
        </w:rPr>
        <w:t xml:space="preserve">6.5 Dynamic Panel Sizing and Location-Aware Pricing</w:t>
      </w:r>
    </w:p>
    <w:p>
      <w:pPr>
        <w:spacing w:before="0" w:after="120"/>
      </w:pPr>
      <w:r>
        <w:rPr>
          <w:rFonts w:ascii="Arial" w:cs="Arial" w:eastAsia="Arial" w:hAnsi="Arial"/>
          <w:color w:val="334155"/>
          <w:sz w:val="22"/>
          <w:szCs w:val="22"/>
        </w:rPr>
        <w:t xml:space="preserve">The intelligent system sizing logic — which calculates the optimal panel area to achieve 90% consumption coverage from the bottom up, constrained to a maximum of 50m² — was implemented with AI assistance. Claude helped design the backward calculation approach (required_generation = consumption × 0.90, scaling_factor = required_generation ÷ base_10m2_monthly_kwh), the clamping logic (minimum 1×, maximum 5×), and the tiered $/m² cost model.</w:t>
      </w:r>
    </w:p>
    <w:p>
      <w:pPr>
        <w:spacing w:before="0" w:after="120"/>
      </w:pPr>
      <w:r>
        <w:rPr>
          <w:rFonts w:ascii="Arial" w:cs="Arial" w:eastAsia="Arial" w:hAnsi="Arial"/>
          <w:color w:val="334155"/>
          <w:sz w:val="22"/>
          <w:szCs w:val="22"/>
        </w:rPr>
        <w:t xml:space="preserve">The country-level installation cost factors were researched and verified against IRENA 2023 Africa solar SME cost data, with AI used to structure the documentation of the rationale for each country adjustment. The result: ROI now varies meaningfully by city in a way that reflects actual market conditions rather than returning identical financial outputs regardless of location.</w:t>
      </w:r>
    </w:p>
    <w:p>
      <w:pPr>
        <w:spacing w:before="80" w:after="80"/>
      </w:pPr>
      <w:r>
        <w:t xml:space="preserve"/>
      </w:r>
    </w:p>
    <w:p>
      <w:pPr>
        <w:pStyle w:val="Heading2"/>
        <w:spacing w:before="280" w:after="80"/>
      </w:pPr>
      <w:r>
        <w:rPr>
          <w:rFonts w:ascii="Arial" w:cs="Arial" w:eastAsia="Arial" w:hAnsi="Arial"/>
          <w:b/>
          <w:bCs/>
          <w:color w:val="0D9488"/>
          <w:sz w:val="26"/>
          <w:szCs w:val="26"/>
        </w:rPr>
        <w:t xml:space="preserve">6.6 Viability Scoring Algorithm</w:t>
      </w:r>
    </w:p>
    <w:p>
      <w:pPr>
        <w:spacing w:before="0" w:after="120"/>
      </w:pPr>
      <w:r>
        <w:rPr>
          <w:rFonts w:ascii="Arial" w:cs="Arial" w:eastAsia="Arial" w:hAnsi="Arial"/>
          <w:color w:val="334155"/>
          <w:sz w:val="22"/>
          <w:szCs w:val="22"/>
        </w:rPr>
        <w:t xml:space="preserve">The composite viability scoring algorithm — which combines ROI score, solar coverage score, and monthly savings score into a 100-point scale — was designed iteratively with AI assistance. The initial linear scoring scale was found to produce incorrect results for diesel businesses whose ROI fell in the 20–50% range (a range the linear scale was not calibrated for). Claude helped design the tiered scoring approach that correctly handles both grid-only (2–5% ROI) and diesel (20–50% ROI) scenarios:</w:t>
      </w:r>
    </w:p>
    <w:p>
      <w:pPr>
        <w:pStyle w:val="ListParagraph"/>
        <w:numPr>
          <w:ilvl w:val="0"/>
          <w:numId w:val="2"/>
        </w:numPr>
        <w:spacing w:before="0" w:after="60"/>
      </w:pPr>
      <w:r>
        <w:rPr>
          <w:rFonts w:ascii="Arial" w:cs="Arial" w:eastAsia="Arial" w:hAnsi="Arial"/>
          <w:color w:val="334155"/>
          <w:sz w:val="22"/>
          <w:szCs w:val="22"/>
        </w:rPr>
        <w:t xml:space="preserve">0–5% ROI: 0–15 points (linear, low range)</w:t>
      </w:r>
    </w:p>
    <w:p>
      <w:pPr>
        <w:pStyle w:val="ListParagraph"/>
        <w:numPr>
          <w:ilvl w:val="0"/>
          <w:numId w:val="2"/>
        </w:numPr>
        <w:spacing w:before="0" w:after="60"/>
      </w:pPr>
      <w:r>
        <w:rPr>
          <w:rFonts w:ascii="Arial" w:cs="Arial" w:eastAsia="Arial" w:hAnsi="Arial"/>
          <w:color w:val="334155"/>
          <w:sz w:val="22"/>
          <w:szCs w:val="22"/>
        </w:rPr>
        <w:t xml:space="preserve">5–20% ROI: 15–37.5 points (slower accumulation)</w:t>
      </w:r>
    </w:p>
    <w:p>
      <w:pPr>
        <w:pStyle w:val="ListParagraph"/>
        <w:numPr>
          <w:ilvl w:val="0"/>
          <w:numId w:val="2"/>
        </w:numPr>
        <w:spacing w:before="0" w:after="60"/>
      </w:pPr>
      <w:r>
        <w:rPr>
          <w:rFonts w:ascii="Arial" w:cs="Arial" w:eastAsia="Arial" w:hAnsi="Arial"/>
          <w:color w:val="334155"/>
          <w:sz w:val="22"/>
          <w:szCs w:val="22"/>
        </w:rPr>
        <w:t xml:space="preserve">20%+ ROI: 37.5–50 points (capped at 50, diminishing returns)</w:t>
      </w:r>
    </w:p>
    <w:p>
      <w:pPr>
        <w:spacing w:before="0" w:after="120"/>
      </w:pPr>
      <w:r>
        <w:rPr>
          <w:rFonts w:ascii="Arial" w:cs="Arial" w:eastAsia="Arial" w:hAnsi="Arial"/>
          <w:color w:val="334155"/>
          <w:sz w:val="22"/>
          <w:szCs w:val="22"/>
        </w:rPr>
        <w:t xml:space="preserve">This ensures that both a grid-only business with 4% ROI and a diesel business with 45% ROI receive scores that correctly reflect their relative solar viability rather than mapping incorrectly onto a scale designed for one scenario.</w:t>
      </w:r>
    </w:p>
    <w:p>
      <w:pPr>
        <w:spacing w:before="80" w:after="80"/>
      </w:pPr>
      <w:r>
        <w:t xml:space="preserve"/>
      </w:r>
    </w:p>
    <w:p>
      <w:pPr>
        <w:pStyle w:val="Heading2"/>
        <w:spacing w:before="280" w:after="80"/>
      </w:pPr>
      <w:r>
        <w:rPr>
          <w:rFonts w:ascii="Arial" w:cs="Arial" w:eastAsia="Arial" w:hAnsi="Arial"/>
          <w:b/>
          <w:bCs/>
          <w:color w:val="0D9488"/>
          <w:sz w:val="26"/>
          <w:szCs w:val="26"/>
        </w:rPr>
        <w:t xml:space="preserve">6.7 Documentation Produced with AI Assistance</w:t>
      </w:r>
    </w:p>
    <w:p>
      <w:pPr>
        <w:pStyle w:val="ListParagraph"/>
        <w:numPr>
          <w:ilvl w:val="0"/>
          <w:numId w:val="2"/>
        </w:numPr>
        <w:spacing w:before="0" w:after="60"/>
      </w:pPr>
      <w:r>
        <w:rPr>
          <w:rFonts w:ascii="Arial" w:cs="Arial" w:eastAsia="Arial" w:hAnsi="Arial"/>
          <w:color w:val="334155"/>
          <w:sz w:val="22"/>
          <w:szCs w:val="22"/>
        </w:rPr>
        <w:t xml:space="preserve">DSE → Backend → Frontend Handoff Documentation — comprehensive integration notes for all three downstream teams, covering expected inputs, outputs, error handling, and integration notes for Models 1–4</w:t>
      </w:r>
    </w:p>
    <w:p>
      <w:pPr>
        <w:pStyle w:val="ListParagraph"/>
        <w:numPr>
          <w:ilvl w:val="0"/>
          <w:numId w:val="2"/>
        </w:numPr>
        <w:spacing w:before="0" w:after="60"/>
      </w:pPr>
      <w:r>
        <w:rPr>
          <w:rFonts w:ascii="Arial" w:cs="Arial" w:eastAsia="Arial" w:hAnsi="Arial"/>
          <w:color w:val="334155"/>
          <w:sz w:val="22"/>
          <w:szCs w:val="22"/>
        </w:rPr>
        <w:t xml:space="preserve">Model 4 API contract — /api/v1/analyze request/response schema for backend integration</w:t>
      </w:r>
    </w:p>
    <w:p>
      <w:pPr>
        <w:pStyle w:val="ListParagraph"/>
        <w:numPr>
          <w:ilvl w:val="0"/>
          <w:numId w:val="2"/>
        </w:numPr>
        <w:spacing w:before="0" w:after="60"/>
      </w:pPr>
      <w:r>
        <w:rPr>
          <w:rFonts w:ascii="Arial" w:cs="Arial" w:eastAsia="Arial" w:hAnsi="Arial"/>
          <w:color w:val="334155"/>
          <w:sz w:val="22"/>
          <w:szCs w:val="22"/>
        </w:rPr>
        <w:t xml:space="preserve">Integration Test Report v2.0 — 93/93 checks passing across 7 test suites</w:t>
      </w:r>
    </w:p>
    <w:p>
      <w:pPr>
        <w:pStyle w:val="ListParagraph"/>
        <w:numPr>
          <w:ilvl w:val="0"/>
          <w:numId w:val="2"/>
        </w:numPr>
        <w:spacing w:before="0" w:after="60"/>
      </w:pPr>
      <w:r>
        <w:rPr>
          <w:rFonts w:ascii="Arial" w:cs="Arial" w:eastAsia="Arial" w:hAnsi="Arial"/>
          <w:color w:val="334155"/>
          <w:sz w:val="22"/>
          <w:szCs w:val="22"/>
        </w:rPr>
        <w:t xml:space="preserve">How It Works (v1–v3) — plain-language explainers for PM and cross-track team, updated iteratively as the system evolved</w:t>
      </w:r>
    </w:p>
    <w:p>
      <w:pPr>
        <w:pStyle w:val="ListParagraph"/>
        <w:numPr>
          <w:ilvl w:val="0"/>
          <w:numId w:val="2"/>
        </w:numPr>
        <w:spacing w:before="0" w:after="60"/>
      </w:pPr>
      <w:r>
        <w:rPr>
          <w:rFonts w:ascii="Arial" w:cs="Arial" w:eastAsia="Arial" w:hAnsi="Arial"/>
          <w:color w:val="334155"/>
          <w:sz w:val="22"/>
          <w:szCs w:val="22"/>
        </w:rPr>
        <w:t xml:space="preserve">Presentation materials — DSE section of the cross-track team presentation addressing PM questions on ROI calculation</w:t>
      </w:r>
    </w:p>
    <w:p>
      <w:pPr>
        <w:spacing w:before="80" w:after="80"/>
      </w:pPr>
      <w:r>
        <w:t xml:space="preserve"/>
      </w:r>
    </w:p>
    <w:p>
      <w:pPr>
        <w:pStyle w:val="Heading2"/>
        <w:spacing w:before="280" w:after="80"/>
      </w:pPr>
      <w:r>
        <w:rPr>
          <w:rFonts w:ascii="Arial" w:cs="Arial" w:eastAsia="Arial" w:hAnsi="Arial"/>
          <w:b/>
          <w:bCs/>
          <w:color w:val="0D9488"/>
          <w:sz w:val="26"/>
          <w:szCs w:val="26"/>
        </w:rPr>
        <w:t xml:space="preserve">6.8 Time Saved Estimates — Model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000"/>
        <w:gridCol w:w="2160"/>
      </w:tblGrid>
      <w:tr>
        <w:trPr>
          <w:tblHeader/>
        </w:trPr>
        <w:tc>
          <w:tcPr>
            <w:tcW w:type="dxa" w:w="3000"/>
            <w:tcBorders>
              <w:top w:val="single" w:color="CCCCCC" w:sz="1"/>
              <w:left w:val="single" w:color="CCCCCC" w:sz="1"/>
              <w:bottom w:val="single" w:color="CCCCCC" w:sz="1"/>
              <w:right w:val="single" w:color="CCCCCC" w:sz="1"/>
            </w:tcBorders>
            <w:shd w:fill="0D9488"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2200"/>
            <w:tcBorders>
              <w:top w:val="single" w:color="CCCCCC" w:sz="1"/>
              <w:left w:val="single" w:color="CCCCCC" w:sz="1"/>
              <w:bottom w:val="single" w:color="CCCCCC" w:sz="1"/>
              <w:right w:val="single" w:color="CCCCCC" w:sz="1"/>
            </w:tcBorders>
            <w:shd w:fill="0D9488" w:val="clear"/>
            <w:tcMar>
              <w:top w:type="dxa" w:w="100"/>
              <w:left w:type="dxa" w:w="140"/>
              <w:bottom w:type="dxa" w:w="100"/>
              <w:right w:type="dxa" w:w="140"/>
            </w:tcMar>
          </w:tcPr>
          <w:p>
            <w:r>
              <w:rPr>
                <w:rFonts w:ascii="Arial" w:cs="Arial" w:eastAsia="Arial" w:hAnsi="Arial"/>
                <w:b/>
                <w:bCs/>
                <w:color w:val="FFFFFF"/>
                <w:sz w:val="20"/>
                <w:szCs w:val="20"/>
              </w:rPr>
              <w:t xml:space="preserve">Estimated Manual Time</w:t>
            </w:r>
          </w:p>
        </w:tc>
        <w:tc>
          <w:tcPr>
            <w:tcW w:type="dxa" w:w="2000"/>
            <w:tcBorders>
              <w:top w:val="single" w:color="CCCCCC" w:sz="1"/>
              <w:left w:val="single" w:color="CCCCCC" w:sz="1"/>
              <w:bottom w:val="single" w:color="CCCCCC" w:sz="1"/>
              <w:right w:val="single" w:color="CCCCCC" w:sz="1"/>
            </w:tcBorders>
            <w:shd w:fill="0D9488" w:val="clear"/>
            <w:tcMar>
              <w:top w:type="dxa" w:w="100"/>
              <w:left w:type="dxa" w:w="140"/>
              <w:bottom w:type="dxa" w:w="100"/>
              <w:right w:type="dxa" w:w="140"/>
            </w:tcMar>
          </w:tcPr>
          <w:p>
            <w:r>
              <w:rPr>
                <w:rFonts w:ascii="Arial" w:cs="Arial" w:eastAsia="Arial" w:hAnsi="Arial"/>
                <w:b/>
                <w:bCs/>
                <w:color w:val="FFFFFF"/>
                <w:sz w:val="20"/>
                <w:szCs w:val="20"/>
              </w:rPr>
              <w:t xml:space="preserve">AI-Assisted Time</w:t>
            </w:r>
          </w:p>
        </w:tc>
        <w:tc>
          <w:tcPr>
            <w:tcW w:type="dxa" w:w="2160"/>
            <w:tcBorders>
              <w:top w:val="single" w:color="CCCCCC" w:sz="1"/>
              <w:left w:val="single" w:color="CCCCCC" w:sz="1"/>
              <w:bottom w:val="single" w:color="CCCCCC" w:sz="1"/>
              <w:right w:val="single" w:color="CCCCCC" w:sz="1"/>
            </w:tcBorders>
            <w:shd w:fill="0D9488" w:val="clear"/>
            <w:tcMar>
              <w:top w:type="dxa" w:w="100"/>
              <w:left w:type="dxa" w:w="140"/>
              <w:bottom w:type="dxa" w:w="100"/>
              <w:right w:type="dxa" w:w="140"/>
            </w:tcMar>
          </w:tcPr>
          <w:p>
            <w:r>
              <w:rPr>
                <w:rFonts w:ascii="Arial" w:cs="Arial" w:eastAsia="Arial" w:hAnsi="Arial"/>
                <w:b/>
                <w:bCs/>
                <w:color w:val="FFFFFF"/>
                <w:sz w:val="20"/>
                <w:szCs w:val="20"/>
              </w:rPr>
              <w:t xml:space="preserve">Time Saved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Diesel economics design and implementation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4–6 hours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~1.5 hours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~70%</w:t>
            </w:r>
          </w:p>
        </w:tc>
      </w:tr>
      <w:tr>
        <w:tc>
          <w:tcPr>
            <w:tcW w:type="dxa" w:w="300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Pre-deployment bug diagnosis and fixes (5 bugs)</w:t>
            </w:r>
          </w:p>
        </w:tc>
        <w:tc>
          <w:tcPr>
            <w:tcW w:type="dxa" w:w="220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1–2 days</w:t>
            </w:r>
          </w:p>
        </w:tc>
        <w:tc>
          <w:tcPr>
            <w:tcW w:type="dxa" w:w="200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~3 hours</w:t>
            </w:r>
          </w:p>
        </w:tc>
        <w:tc>
          <w:tcPr>
            <w:tcW w:type="dxa" w:w="216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~80%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Gateway integration and unified architecture refactor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2–3 days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~6 hours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~75%</w:t>
            </w:r>
          </w:p>
        </w:tc>
      </w:tr>
      <w:tr>
        <w:tc>
          <w:tcPr>
            <w:tcW w:type="dxa" w:w="300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Dynamic sizing and country pricing logic</w:t>
            </w:r>
          </w:p>
        </w:tc>
        <w:tc>
          <w:tcPr>
            <w:tcW w:type="dxa" w:w="220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3–4 hours</w:t>
            </w:r>
          </w:p>
        </w:tc>
        <w:tc>
          <w:tcPr>
            <w:tcW w:type="dxa" w:w="200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~1.5 hours</w:t>
            </w:r>
          </w:p>
        </w:tc>
        <w:tc>
          <w:tcPr>
            <w:tcW w:type="dxa" w:w="216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~65%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Viability scoring algorithm redesign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2–3 hours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~1 hour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~65%</w:t>
            </w:r>
          </w:p>
        </w:tc>
      </w:tr>
      <w:tr>
        <w:tc>
          <w:tcPr>
            <w:tcW w:type="dxa" w:w="300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Handoff documentation (all teams)</w:t>
            </w:r>
          </w:p>
        </w:tc>
        <w:tc>
          <w:tcPr>
            <w:tcW w:type="dxa" w:w="220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4–6 hours</w:t>
            </w:r>
          </w:p>
        </w:tc>
        <w:tc>
          <w:tcPr>
            <w:tcW w:type="dxa" w:w="200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~2 hours</w:t>
            </w:r>
          </w:p>
        </w:tc>
        <w:tc>
          <w:tcPr>
            <w:tcW w:type="dxa" w:w="216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~65%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Integration test suite (93/93, v3.1)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3–5 hours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~1.5 hours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~65%</w:t>
            </w:r>
          </w:p>
        </w:tc>
      </w:tr>
    </w:tbl>
    <w:p>
      <w:pPr>
        <w:spacing w:before="80" w:after="80"/>
      </w:pPr>
      <w:r>
        <w:t xml:space="preserve"/>
      </w:r>
    </w:p>
    <w:p>
      <w:pPr>
        <w:spacing w:before="60" w:after="200"/>
        <w:jc w:val="center"/>
      </w:pPr>
      <w:r>
        <w:rPr>
          <w:rFonts w:ascii="Arial" w:cs="Arial" w:eastAsia="Arial" w:hAnsi="Arial"/>
          <w:i/>
          <w:iCs/>
          <w:color w:val="64748B"/>
          <w:sz w:val="18"/>
          <w:szCs w:val="18"/>
        </w:rPr>
        <w:t xml:space="preserve">Table 6.2: Model 4 estimated time savings from AI-assisted workflows</w:t>
      </w:r>
    </w:p>
    <w:p>
      <w:pPr>
        <w:spacing w:before="120" w:after="120"/>
      </w:pPr>
      <w:r>
        <w:t xml:space="preserve"/>
      </w:r>
    </w:p>
    <w:p>
      <w:pPr>
        <w:pBdr>
          <w:bottom w:val="single" w:color="E2E8F0" w:sz="4" w:space="1"/>
        </w:pBdr>
        <w:spacing w:before="120" w:after="120"/>
      </w:pPr>
    </w:p>
    <w:p>
      <w:r>
        <w:br w:type="page"/>
      </w:r>
    </w:p>
    <w:p>
      <w:pPr>
        <w:pStyle w:val="Heading1"/>
        <w:spacing w:before="360" w:after="120"/>
      </w:pPr>
      <w:r>
        <w:rPr>
          <w:rFonts w:ascii="Arial" w:cs="Arial" w:eastAsia="Arial" w:hAnsi="Arial"/>
          <w:b/>
          <w:bCs/>
          <w:color w:val="0F172A"/>
          <w:sz w:val="32"/>
          <w:szCs w:val="32"/>
        </w:rPr>
        <w:t xml:space="preserve">AI Tool Selection Framework — DSE Lead Observations</w:t>
      </w:r>
    </w:p>
    <w:p>
      <w:pPr>
        <w:spacing w:before="0" w:after="120"/>
      </w:pPr>
      <w:r>
        <w:rPr>
          <w:rFonts w:ascii="Arial" w:cs="Arial" w:eastAsia="Arial" w:hAnsi="Arial"/>
          <w:color w:val="334155"/>
          <w:sz w:val="22"/>
          <w:szCs w:val="22"/>
        </w:rPr>
        <w:t xml:space="preserve">One of the key learnings from the DSE track is that AI tools are not interchangeable. Each tool has a distinct capability profile and using the wrong tool for a task produces inferior results. The DSE lead developed an implicit selection framework over the project period, documented here for future teams:</w:t>
      </w:r>
    </w:p>
    <w:p>
      <w:pPr>
        <w:spacing w:before="80" w:after="8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000"/>
        <w:gridCol w:w="2460"/>
      </w:tblGrid>
      <w:tr>
        <w:trPr>
          <w:tblHeader/>
        </w:trPr>
        <w:tc>
          <w:tcPr>
            <w:tcW w:type="dxa" w:w="1500"/>
            <w:tcBorders>
              <w:top w:val="single" w:color="CCCCCC" w:sz="1"/>
              <w:left w:val="single" w:color="CCCCCC" w:sz="1"/>
              <w:bottom w:val="single" w:color="CCCCCC" w:sz="1"/>
              <w:right w:val="single" w:color="CCCCCC" w:sz="1"/>
            </w:tcBorders>
            <w:shd w:fill="0D9488"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2500"/>
            <w:tcBorders>
              <w:top w:val="single" w:color="CCCCCC" w:sz="1"/>
              <w:left w:val="single" w:color="CCCCCC" w:sz="1"/>
              <w:bottom w:val="single" w:color="CCCCCC" w:sz="1"/>
              <w:right w:val="single" w:color="CCCCCC" w:sz="1"/>
            </w:tcBorders>
            <w:shd w:fill="0D9488" w:val="clear"/>
            <w:tcMar>
              <w:top w:type="dxa" w:w="100"/>
              <w:left w:type="dxa" w:w="140"/>
              <w:bottom w:type="dxa" w:w="100"/>
              <w:right w:type="dxa" w:w="140"/>
            </w:tcMar>
          </w:tcPr>
          <w:p>
            <w:r>
              <w:rPr>
                <w:rFonts w:ascii="Arial" w:cs="Arial" w:eastAsia="Arial" w:hAnsi="Arial"/>
                <w:b/>
                <w:bCs/>
                <w:color w:val="FFFFFF"/>
                <w:sz w:val="20"/>
                <w:szCs w:val="20"/>
              </w:rPr>
              <w:t xml:space="preserve">Best Used For</w:t>
            </w:r>
          </w:p>
        </w:tc>
        <w:tc>
          <w:tcPr>
            <w:tcW w:type="dxa" w:w="2000"/>
            <w:tcBorders>
              <w:top w:val="single" w:color="CCCCCC" w:sz="1"/>
              <w:left w:val="single" w:color="CCCCCC" w:sz="1"/>
              <w:bottom w:val="single" w:color="CCCCCC" w:sz="1"/>
              <w:right w:val="single" w:color="CCCCCC" w:sz="1"/>
            </w:tcBorders>
            <w:shd w:fill="0D9488" w:val="clear"/>
            <w:tcMar>
              <w:top w:type="dxa" w:w="100"/>
              <w:left w:type="dxa" w:w="140"/>
              <w:bottom w:type="dxa" w:w="100"/>
              <w:right w:type="dxa" w:w="140"/>
            </w:tcMar>
          </w:tcPr>
          <w:p>
            <w:r>
              <w:rPr>
                <w:rFonts w:ascii="Arial" w:cs="Arial" w:eastAsia="Arial" w:hAnsi="Arial"/>
                <w:b/>
                <w:bCs/>
                <w:color w:val="FFFFFF"/>
                <w:sz w:val="20"/>
                <w:szCs w:val="20"/>
              </w:rPr>
              <w:t xml:space="preserve">Limitations</w:t>
            </w:r>
          </w:p>
        </w:tc>
        <w:tc>
          <w:tcPr>
            <w:tcW w:type="dxa" w:w="2460"/>
            <w:tcBorders>
              <w:top w:val="single" w:color="CCCCCC" w:sz="1"/>
              <w:left w:val="single" w:color="CCCCCC" w:sz="1"/>
              <w:bottom w:val="single" w:color="CCCCCC" w:sz="1"/>
              <w:right w:val="single" w:color="CCCCCC" w:sz="1"/>
            </w:tcBorders>
            <w:shd w:fill="0D9488" w:val="clear"/>
            <w:tcMar>
              <w:top w:type="dxa" w:w="100"/>
              <w:left w:type="dxa" w:w="140"/>
              <w:bottom w:type="dxa" w:w="100"/>
              <w:right w:type="dxa" w:w="140"/>
            </w:tcMar>
          </w:tcPr>
          <w:p>
            <w:r>
              <w:rPr>
                <w:rFonts w:ascii="Arial" w:cs="Arial" w:eastAsia="Arial" w:hAnsi="Arial"/>
                <w:b/>
                <w:bCs/>
                <w:color w:val="FFFFFF"/>
                <w:sz w:val="20"/>
                <w:szCs w:val="20"/>
              </w:rPr>
              <w:t xml:space="preserve">DSE Usage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Claude (Anthropic)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Documentation drafting, deep debugging, code generation for targeted tasks, quality inspection of outputs against specifications, long-context reasoning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Does not access live environments; hallucination risk on descoped features; sometimes implements prompts partially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Primary tool — documentation, debugging, code generation, quality inspection</w:t>
            </w:r>
          </w:p>
        </w:tc>
      </w:tr>
      <w:tr>
        <w:tc>
          <w:tcPr>
            <w:tcW w:type="dxa" w:w="150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Cursor AI</w:t>
            </w:r>
          </w:p>
        </w:tc>
        <w:tc>
          <w:tcPr>
            <w:tcW w:type="dxa" w:w="250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Large-scale refactoring requiring full codebase context, multi-file multi-step changes, architecture restructuring</w:t>
            </w:r>
          </w:p>
        </w:tc>
        <w:tc>
          <w:tcPr>
            <w:tcW w:type="dxa" w:w="200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Overkill for single-file tasks; requires careful direction on architectural intent</w:t>
            </w:r>
          </w:p>
        </w:tc>
        <w:tc>
          <w:tcPr>
            <w:tcW w:type="dxa" w:w="246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Unified API architecture refactor, Model 4 gateway integration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ChatGPT (GPT)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Surface-level debugging, quick syntax questions, rapid prototype suggestions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Not suitable for deep architectural or model-level bugs; limited context retention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Surface debugging, quick reference</w:t>
            </w:r>
          </w:p>
        </w:tc>
      </w:tr>
      <w:tr>
        <w:tc>
          <w:tcPr>
            <w:tcW w:type="dxa" w:w="150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GitHub Copilot (VS Code)</w:t>
            </w:r>
          </w:p>
        </w:tc>
        <w:tc>
          <w:tcPr>
            <w:tcW w:type="dxa" w:w="250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Inline code completion, routine patterns, docstrings, boilerplate</w:t>
            </w:r>
          </w:p>
        </w:tc>
        <w:tc>
          <w:tcPr>
            <w:tcW w:type="dxa" w:w="200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Context limited to current file; not suitable for cross-file reasoning</w:t>
            </w:r>
          </w:p>
        </w:tc>
        <w:tc>
          <w:tcPr>
            <w:tcW w:type="dxa" w:w="246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Inline completion throughout development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Google AI Studio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Research tasks, literature review, exploring domain knowledge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Not suitable for codebase-specific work</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Research and domain knowledge queries</w:t>
            </w:r>
          </w:p>
        </w:tc>
      </w:tr>
      <w:tr>
        <w:tc>
          <w:tcPr>
            <w:tcW w:type="dxa" w:w="150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Perplexity</w:t>
            </w:r>
          </w:p>
        </w:tc>
        <w:tc>
          <w:tcPr>
            <w:tcW w:type="dxa" w:w="250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Rapid factual research with citations</w:t>
            </w:r>
          </w:p>
        </w:tc>
        <w:tc>
          <w:tcPr>
            <w:tcW w:type="dxa" w:w="200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Not suitable for code tasks</w:t>
            </w:r>
          </w:p>
        </w:tc>
        <w:tc>
          <w:tcPr>
            <w:tcW w:type="dxa" w:w="2460"/>
            <w:tcBorders>
              <w:top w:val="single" w:color="CCCCCC" w:sz="1"/>
              <w:left w:val="single" w:color="CCCCCC" w:sz="1"/>
              <w:bottom w:val="single" w:color="CCCCCC" w:sz="1"/>
              <w:right w:val="single" w:color="CCCCCC" w:sz="1"/>
            </w:tcBorders>
            <w:shd w:fill="F0FDFA" w:val="clear"/>
            <w:tcMar>
              <w:top w:type="dxa" w:w="80"/>
              <w:left w:type="dxa" w:w="140"/>
              <w:bottom w:type="dxa" w:w="80"/>
              <w:right w:type="dxa" w:w="140"/>
            </w:tcMar>
            <w:vAlign w:val="top"/>
          </w:tcPr>
          <w:p>
            <w:r>
              <w:rPr>
                <w:rFonts w:ascii="Arial" w:cs="Arial" w:eastAsia="Arial" w:hAnsi="Arial"/>
                <w:color w:val="334155"/>
                <w:sz w:val="20"/>
                <w:szCs w:val="20"/>
              </w:rPr>
              <w:t xml:space="preserve">Background research and source verification</w:t>
            </w:r>
          </w:p>
        </w:tc>
      </w:tr>
    </w:tbl>
    <w:p>
      <w:pPr>
        <w:spacing w:before="80" w:after="80"/>
      </w:pPr>
      <w:r>
        <w:t xml:space="preserve"/>
      </w:r>
    </w:p>
    <w:p>
      <w:pPr>
        <w:spacing w:before="60" w:after="200"/>
        <w:jc w:val="center"/>
      </w:pPr>
      <w:r>
        <w:rPr>
          <w:rFonts w:ascii="Arial" w:cs="Arial" w:eastAsia="Arial" w:hAnsi="Arial"/>
          <w:i/>
          <w:iCs/>
          <w:color w:val="64748B"/>
          <w:sz w:val="18"/>
          <w:szCs w:val="18"/>
        </w:rPr>
        <w:t xml:space="preserve">Table 7.1: AI Tool Selection Framework — capability profiles and DSE usage patterns</w:t>
      </w:r>
    </w:p>
    <w:p>
      <w:pPr>
        <w:spacing w:before="160" w:after="160"/>
      </w:pPr>
      <w:r>
        <w:t xml:space="preserve"/>
      </w:r>
    </w:p>
    <w:p>
      <w:pPr>
        <w:pStyle w:val="Heading2"/>
        <w:spacing w:before="280" w:after="80"/>
      </w:pPr>
      <w:r>
        <w:rPr>
          <w:rFonts w:ascii="Arial" w:cs="Arial" w:eastAsia="Arial" w:hAnsi="Arial"/>
          <w:b/>
          <w:bCs/>
          <w:color w:val="0D9488"/>
          <w:sz w:val="26"/>
          <w:szCs w:val="26"/>
        </w:rPr>
        <w:t xml:space="preserve">The Quality Inspection Mandate</w:t>
      </w:r>
    </w:p>
    <w:p>
      <w:pPr>
        <w:spacing w:before="0" w:after="120"/>
      </w:pPr>
      <w:r>
        <w:rPr>
          <w:rFonts w:ascii="Arial" w:cs="Arial" w:eastAsia="Arial" w:hAnsi="Arial"/>
          <w:color w:val="334155"/>
          <w:sz w:val="22"/>
          <w:szCs w:val="22"/>
        </w:rPr>
        <w:t xml:space="preserve">The DSE lead established a team-wide requirement: before any model approach, dataset decision, or architectural choice was finalised, team members were required to validate it using Claude's document analysis capability. The workflow was: provide the alignment documents, problem statement, and proposed approach; ask Claude to evaluate fit and flag concerns. This process identified the initial Model 1 dataset mismatch, the Model 2 data leakage, and several misaligned feature implementations before they reached integration.</w:t>
      </w:r>
    </w:p>
    <w:p>
      <w:pPr>
        <w:spacing w:before="0" w:after="120"/>
      </w:pPr>
      <w:r>
        <w:rPr>
          <w:rFonts w:ascii="Arial" w:cs="Arial" w:eastAsia="Arial" w:hAnsi="Arial"/>
          <w:color w:val="334155"/>
          <w:sz w:val="22"/>
          <w:szCs w:val="22"/>
        </w:rPr>
        <w:t xml:space="preserve">This represents a different mode of AI integration than code generation or documentation — it is AI as a structured quality gate, reducing the burden on the technical lead to manually review every team member's work in full detail while maintaining quality standards across a geographically distributed team.</w:t>
      </w:r>
    </w:p>
    <w:p>
      <w:pPr>
        <w:spacing w:before="80" w:after="80"/>
      </w:pPr>
      <w:r>
        <w:t xml:space="preserve"/>
      </w:r>
    </w:p>
    <w:p>
      <w:pPr>
        <w:pStyle w:val="Heading2"/>
        <w:spacing w:before="280" w:after="80"/>
      </w:pPr>
      <w:r>
        <w:rPr>
          <w:rFonts w:ascii="Arial" w:cs="Arial" w:eastAsia="Arial" w:hAnsi="Arial"/>
          <w:b/>
          <w:bCs/>
          <w:color w:val="0D9488"/>
          <w:sz w:val="26"/>
          <w:szCs w:val="26"/>
        </w:rPr>
        <w:t xml:space="preserve">Accuracy Trade-offs — Summary</w:t>
      </w:r>
    </w:p>
    <w:p>
      <w:pPr>
        <w:spacing w:before="0" w:after="120"/>
      </w:pPr>
      <w:r>
        <w:rPr>
          <w:rFonts w:ascii="Arial" w:cs="Arial" w:eastAsia="Arial" w:hAnsi="Arial"/>
          <w:color w:val="334155"/>
          <w:sz w:val="22"/>
          <w:szCs w:val="22"/>
        </w:rPr>
        <w:t xml:space="preserve">Across all four models, three categories of AI accuracy limitation were consistently encountered:</w:t>
      </w:r>
    </w:p>
    <w:p>
      <w:pPr>
        <w:pStyle w:val="ListParagraph"/>
        <w:numPr>
          <w:ilvl w:val="0"/>
          <w:numId w:val="2"/>
        </w:numPr>
        <w:spacing w:before="0" w:after="60"/>
      </w:pPr>
      <w:r>
        <w:rPr>
          <w:rFonts w:ascii="Arial" w:cs="Arial" w:eastAsia="Arial" w:hAnsi="Arial"/>
          <w:color w:val="334155"/>
          <w:sz w:val="22"/>
          <w:szCs w:val="22"/>
        </w:rPr>
        <w:t xml:space="preserve">Hallucination of removed features: AI would reference payback periods, API fields, or configuration options that had been descoped. Every AI-generated document required a verification pass.</w:t>
      </w:r>
    </w:p>
    <w:p>
      <w:pPr>
        <w:pStyle w:val="ListParagraph"/>
        <w:numPr>
          <w:ilvl w:val="0"/>
          <w:numId w:val="2"/>
        </w:numPr>
        <w:spacing w:before="0" w:after="60"/>
      </w:pPr>
      <w:r>
        <w:rPr>
          <w:rFonts w:ascii="Arial" w:cs="Arial" w:eastAsia="Arial" w:hAnsi="Arial"/>
          <w:color w:val="334155"/>
          <w:sz w:val="22"/>
          <w:szCs w:val="22"/>
        </w:rPr>
        <w:t xml:space="preserve">Prompt misinterpretation: AI would implement a prompt partially or interpret intent differently than expected. The more constrained and specific the prompt, the more reliable the output. Refinement prompts with explicit corrections were standard practice.</w:t>
      </w:r>
    </w:p>
    <w:p>
      <w:pPr>
        <w:pStyle w:val="ListParagraph"/>
        <w:numPr>
          <w:ilvl w:val="0"/>
          <w:numId w:val="2"/>
        </w:numPr>
        <w:spacing w:before="0" w:after="60"/>
      </w:pPr>
      <w:r>
        <w:rPr>
          <w:rFonts w:ascii="Arial" w:cs="Arial" w:eastAsia="Arial" w:hAnsi="Arial"/>
          <w:color w:val="334155"/>
          <w:sz w:val="22"/>
          <w:szCs w:val="22"/>
        </w:rPr>
        <w:t xml:space="preserve">Environmental blindness: AI could not directly observe the deployment environment, library versions, or live API responses. All diagnostic conclusions required the DSE lead to run actual tests and feed results back into the conversation.</w:t>
      </w:r>
    </w:p>
    <w:p>
      <w:pPr>
        <w:spacing w:before="80" w:after="80"/>
      </w:pPr>
      <w:r>
        <w:t xml:space="preserve"/>
      </w:r>
    </w:p>
    <w:p>
      <w:pPr>
        <w:spacing w:before="0" w:after="120"/>
      </w:pPr>
      <w:r>
        <w:rPr>
          <w:rFonts w:ascii="Arial" w:cs="Arial" w:eastAsia="Arial" w:hAnsi="Arial"/>
          <w:color w:val="334155"/>
          <w:sz w:val="22"/>
          <w:szCs w:val="22"/>
        </w:rPr>
        <w:t xml:space="preserve">The consistent mitigation for all three was: treat every AI output as a first draft requiring human review. AI accelerated the work; human judgement ensured the work was correct.</w:t>
      </w:r>
    </w:p>
    <w:p>
      <w:pPr>
        <w:spacing w:before="160" w:after="160"/>
      </w:pPr>
      <w:r>
        <w:t xml:space="preserve"/>
      </w:r>
    </w:p>
    <w:p>
      <w:pPr>
        <w:pBdr>
          <w:bottom w:val="single" w:color="E2E8F0" w:sz="4" w:space="1"/>
        </w:pBdr>
        <w:spacing w:before="120" w:after="120"/>
      </w:pPr>
    </w:p>
    <w:p>
      <w:pPr>
        <w:spacing w:before="120" w:after="120"/>
      </w:pPr>
      <w:r>
        <w:t xml:space="preserve"/>
      </w:r>
    </w:p>
    <w:p>
      <w:pPr>
        <w:jc w:val="center"/>
      </w:pPr>
      <w:r>
        <w:rPr>
          <w:rFonts w:ascii="Arial" w:cs="Arial" w:eastAsia="Arial" w:hAnsi="Arial"/>
          <w:i/>
          <w:iCs/>
          <w:color w:val="64748B"/>
          <w:sz w:val="20"/>
          <w:szCs w:val="20"/>
        </w:rPr>
        <w:t xml:space="preserve">End of DSE AI Integration Report — Sections 3–6</w:t>
      </w:r>
    </w:p>
    <w:p>
      <w:pPr>
        <w:jc w:val="center"/>
      </w:pPr>
      <w:r>
        <w:rPr>
          <w:rFonts w:ascii="Arial" w:cs="Arial" w:eastAsia="Arial" w:hAnsi="Arial"/>
          <w:color w:val="94A3B8"/>
          <w:sz w:val="18"/>
          <w:szCs w:val="18"/>
        </w:rPr>
        <w:t xml:space="preserve">SolarSense AI | Women in Tech Fellowship 2025/2026 | February 2026</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1"/>
      </w:pBdr>
      <w:tabs>
        <w:tab w:val="right" w:pos="9026"/>
      </w:tabs>
    </w:pPr>
    <w:r>
      <w:rPr>
        <w:rFonts w:ascii="Arial" w:cs="Arial" w:eastAsia="Arial" w:hAnsi="Arial"/>
        <w:color w:val="94A3B8"/>
        <w:sz w:val="18"/>
        <w:szCs w:val="18"/>
      </w:rPr>
      <w:t xml:space="preserve">SolarSense AI — DSE AI Integration Report</w:t>
    </w:r>
    <w:r>
      <w:rPr>
        <w:rFonts w:ascii="Arial" w:cs="Arial" w:eastAsia="Arial" w:hAnsi="Arial"/>
        <w:color w:val="94A3B8"/>
        <w:sz w:val="18"/>
        <w:szCs w:val="18"/>
      </w:rPr>
      <w:t xml:space="preserve">	Page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720" w:hanging="360"/>
      </w:pPr>
    </w:lvl>
    <w:lvl w:ilvl="1" w15:tentative="1">
      <w:start w:val="1"/>
      <w:numFmt w:val="bullet"/>
      <w:lvlText w:val="◦"/>
      <w:lvlJc w:val="left"/>
      <w:pPr>
        <w:spacing w:after="40"/>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F172A"/>
      <w:sz w:val="36"/>
      <w:szCs w:val="36"/>
    </w:rPr>
  </w:style>
  <w:style w:type="paragraph" w:styleId="Heading2">
    <w:name w:val="Heading 2"/>
    <w:basedOn w:val="Normal"/>
    <w:next w:val="Normal"/>
    <w:qFormat/>
    <w:pPr>
      <w:spacing w:before="280" w:after="80"/>
      <w:outlineLvl w:val="1"/>
    </w:pPr>
    <w:rPr>
      <w:rFonts w:ascii="Arial" w:cs="Arial" w:eastAsia="Arial" w:hAnsi="Arial"/>
      <w:b/>
      <w:bCs/>
      <w:color w:val="0D9488"/>
      <w:sz w:val="28"/>
      <w:szCs w:val="28"/>
    </w:rPr>
  </w:style>
  <w:style w:type="paragraph" w:styleId="Heading3">
    <w:name w:val="Heading 3"/>
    <w:basedOn w:val="Normal"/>
    <w:next w:val="Normal"/>
    <w:qFormat/>
    <w:pPr>
      <w:spacing w:before="200" w:after="6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2026-02-23T23:20:13.151Z</dcterms:created>
  <dcterms:modified xsi:type="dcterms:W3CDTF">2026-02-23T23:20:13.152Z</dcterms:modified>
</cp:coreProperties>
</file>

<file path=docProps/custom.xml><?xml version="1.0" encoding="utf-8"?>
<Properties xmlns="http://schemas.openxmlformats.org/officeDocument/2006/custom-properties" xmlns:vt="http://schemas.openxmlformats.org/officeDocument/2006/docPropsVTypes"/>
</file>