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5B2C8D" w:val="clear"/>
        <w:spacing w:before="480" w:after="120"/>
        <w:jc w:val="center"/>
      </w:pPr>
      <w:r>
        <w:rPr>
          <w:rFonts w:ascii="Arial" w:cs="Arial" w:eastAsia="Arial" w:hAnsi="Arial"/>
          <w:b/>
          <w:bCs/>
          <w:color w:val="FFFFFF"/>
          <w:sz w:val="52"/>
          <w:szCs w:val="52"/>
        </w:rPr>
        <w:t xml:space="preserve">AI-ASSISTED ANALYSIS</w:t>
      </w:r>
    </w:p>
    <w:p>
      <w:pPr>
        <w:shd w:fill="5B2C8D" w:val="clear"/>
        <w:spacing w:before="0" w:after="80"/>
        <w:jc w:val="center"/>
      </w:pPr>
      <w:r>
        <w:rPr>
          <w:rFonts w:ascii="Arial" w:cs="Arial" w:eastAsia="Arial" w:hAnsi="Arial"/>
          <w:i/>
          <w:iCs/>
          <w:color w:val="DDDDDD"/>
          <w:sz w:val="28"/>
          <w:szCs w:val="28"/>
        </w:rPr>
        <w:t xml:space="preserve">How Artificial Intelligence Was Used in This Report</w:t>
      </w:r>
    </w:p>
    <w:p>
      <w:pPr>
        <w:shd w:fill="5B2C8D" w:val="clear"/>
        <w:spacing w:before="0" w:after="480"/>
        <w:jc w:val="center"/>
      </w:pPr>
      <w:r>
        <w:rPr>
          <w:rFonts w:ascii="Arial" w:cs="Arial" w:eastAsia="Arial" w:hAnsi="Arial"/>
          <w:color w:val="BBBBBB"/>
          <w:sz w:val="20"/>
          <w:szCs w:val="20"/>
        </w:rPr>
        <w:t xml:space="preserve">SolarSense Stakeholder Intelligence Report | February 2026</w:t>
      </w:r>
    </w:p>
    <w:p>
      <w:pPr>
        <w:pBdr>
          <w:bottom w:val="single" w:color="DDDDDD" w:sz="4"/>
        </w:pBdr>
        <w:spacing w:before="160" w:after="160"/>
      </w:pPr>
    </w:p>
    <w:p>
      <w:pPr>
        <w:pStyle w:val="Heading1"/>
        <w:pBdr>
          <w:bottom w:val="single" w:color="5B2C8D" w:sz="8" w:space="6"/>
        </w:pBdr>
        <w:spacing w:before="360" w:after="120"/>
      </w:pPr>
      <w:r>
        <w:rPr>
          <w:rFonts w:ascii="Arial" w:cs="Arial" w:eastAsia="Arial" w:hAnsi="Arial"/>
          <w:b/>
          <w:bCs/>
          <w:color w:val="5B2C8D"/>
          <w:sz w:val="32"/>
          <w:szCs w:val="32"/>
        </w:rPr>
        <w:t xml:space="preserve">Overview</w:t>
      </w:r>
    </w:p>
    <w:p>
      <w:pPr>
        <w:spacing w:before="80" w:after="100"/>
      </w:pPr>
      <w:r>
        <w:rPr>
          <w:rFonts w:ascii="Arial" w:cs="Arial" w:eastAsia="Arial" w:hAnsi="Arial"/>
          <w:sz w:val="22"/>
          <w:szCs w:val="22"/>
        </w:rPr>
        <w:t xml:space="preserve">This document provides a transparent account of how AI — specifically Claude (Anthropic) — was used to analyse the SolarSense Power BI dashboard file (.pbix) and produce the accompanying Stakeholder Intelligence Report. The methodology followed is fully reproducible and is documented here for governance, audit, and trust purposes.</w:t>
      </w:r>
    </w:p>
    <w:p>
      <w:pPr>
        <w:spacing w:before="80" w:after="100"/>
      </w:pPr>
      <w:r>
        <w:rPr>
          <w:rFonts w:ascii="Arial" w:cs="Arial" w:eastAsia="Arial" w:hAnsi="Arial"/>
          <w:sz w:val="22"/>
          <w:szCs w:val="22"/>
        </w:rPr>
        <w:t xml:space="preserve">No external data was fabricated or assumed. All insights and statistics cited in the stakeholder report are drawn exclusively from the data structures, measures, visual content, and annotated text found within the SolarSense.pbix file itself.</w:t>
      </w:r>
    </w:p>
    <w:p>
      <w:pPr>
        <w:pBdr>
          <w:bottom w:val="single" w:color="DDDDDD" w:sz="4"/>
        </w:pBdr>
        <w:spacing w:before="160" w:after="160"/>
      </w:pPr>
    </w:p>
    <w:p>
      <w:pPr>
        <w:pStyle w:val="Heading1"/>
        <w:pBdr>
          <w:bottom w:val="single" w:color="5B2C8D" w:sz="8" w:space="6"/>
        </w:pBdr>
        <w:spacing w:before="360" w:after="120"/>
      </w:pPr>
      <w:r>
        <w:rPr>
          <w:rFonts w:ascii="Arial" w:cs="Arial" w:eastAsia="Arial" w:hAnsi="Arial"/>
          <w:b/>
          <w:bCs/>
          <w:color w:val="5B2C8D"/>
          <w:sz w:val="32"/>
          <w:szCs w:val="32"/>
        </w:rPr>
        <w:t xml:space="preserve">Step-by-Step AI Methodology</w:t>
      </w:r>
    </w:p>
    <w:p>
      <w:pPr>
        <w:pStyle w:val="Heading2"/>
        <w:spacing w:before="240" w:after="100"/>
      </w:pPr>
      <w:r>
        <w:rPr>
          <w:rFonts w:ascii="Arial" w:cs="Arial" w:eastAsia="Arial" w:hAnsi="Arial"/>
          <w:b/>
          <w:bCs/>
          <w:color w:val="5B2C8D"/>
          <w:sz w:val="26"/>
          <w:szCs w:val="26"/>
        </w:rPr>
        <w:t xml:space="preserve">Phase 1: File Ingestion and Structure Extraction</w:t>
      </w:r>
    </w:p>
    <w:p>
      <w:pPr>
        <w:spacing w:before="80" w:after="100"/>
      </w:pPr>
      <w:r>
        <w:rPr>
          <w:rFonts w:ascii="Arial" w:cs="Arial" w:eastAsia="Arial" w:hAnsi="Arial"/>
          <w:sz w:val="22"/>
          <w:szCs w:val="22"/>
        </w:rPr>
        <w:t xml:space="preserve">The SolarSense.pbix file is a ZIP-compressed archive containing the full Power BI report. The AI executed the following steps:</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5B2C8D"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01</w:t>
            </w:r>
          </w:p>
        </w:tc>
        <w:tc>
          <w:tcPr>
            <w:tcW w:type="dxa" w:w="8160"/>
            <w:tcBorders>
              <w:top w:val="single" w:color="CCCCCC" w:sz="1"/>
              <w:left w:val="single" w:color="CCCCCC" w:sz="1"/>
              <w:bottom w:val="single" w:color="CCCCCC" w:sz="1"/>
              <w:right w:val="single" w:color="CCCCCC" w:sz="1"/>
            </w:tcBorders>
            <w:shd w:fill="F4ECF7" w:val="clear"/>
            <w:tcMar>
              <w:top w:type="dxa" w:w="100"/>
              <w:left w:type="dxa" w:w="200"/>
              <w:bottom w:type="dxa" w:w="100"/>
              <w:right w:type="dxa" w:w="200"/>
            </w:tcMar>
          </w:tcPr>
          <w:p>
            <w:pPr>
              <w:spacing w:after="40"/>
            </w:pPr>
            <w:r>
              <w:rPr>
                <w:rFonts w:ascii="Arial" w:cs="Arial" w:eastAsia="Arial" w:hAnsi="Arial"/>
                <w:b/>
                <w:bCs/>
                <w:color w:val="5B2C8D"/>
                <w:sz w:val="22"/>
                <w:szCs w:val="22"/>
              </w:rPr>
              <w:t xml:space="preserve">File type detection</w:t>
            </w:r>
          </w:p>
          <w:p>
            <w:r>
              <w:rPr>
                <w:rFonts w:ascii="Arial" w:cs="Arial" w:eastAsia="Arial" w:hAnsi="Arial"/>
                <w:color w:val="444444"/>
                <w:sz w:val="20"/>
                <w:szCs w:val="20"/>
              </w:rPr>
              <w:t xml:space="preserve">Identified SolarSense.pbix as a ZIP archive using the Linux 'file' command, then unzipped to access its internal components: Report/Layout, DataModel, Settings, and resource files.</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5B2C8D"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02</w:t>
            </w:r>
          </w:p>
        </w:tc>
        <w:tc>
          <w:tcPr>
            <w:tcW w:type="dxa" w:w="8160"/>
            <w:tcBorders>
              <w:top w:val="single" w:color="CCCCCC" w:sz="1"/>
              <w:left w:val="single" w:color="CCCCCC" w:sz="1"/>
              <w:bottom w:val="single" w:color="CCCCCC" w:sz="1"/>
              <w:right w:val="single" w:color="CCCCCC" w:sz="1"/>
            </w:tcBorders>
            <w:shd w:fill="F4ECF7" w:val="clear"/>
            <w:tcMar>
              <w:top w:type="dxa" w:w="100"/>
              <w:left w:type="dxa" w:w="200"/>
              <w:bottom w:type="dxa" w:w="100"/>
              <w:right w:type="dxa" w:w="200"/>
            </w:tcMar>
          </w:tcPr>
          <w:p>
            <w:pPr>
              <w:spacing w:after="40"/>
            </w:pPr>
            <w:r>
              <w:rPr>
                <w:rFonts w:ascii="Arial" w:cs="Arial" w:eastAsia="Arial" w:hAnsi="Arial"/>
                <w:b/>
                <w:bCs/>
                <w:color w:val="5B2C8D"/>
                <w:sz w:val="22"/>
                <w:szCs w:val="22"/>
              </w:rPr>
              <w:t xml:space="preserve">Encoding identification</w:t>
            </w:r>
          </w:p>
          <w:p>
            <w:r>
              <w:rPr>
                <w:rFonts w:ascii="Arial" w:cs="Arial" w:eastAsia="Arial" w:hAnsi="Arial"/>
                <w:color w:val="444444"/>
                <w:sz w:val="20"/>
                <w:szCs w:val="20"/>
              </w:rPr>
              <w:t xml:space="preserve">Discovered the Report/Layout file was encoded in UTF-16 LE (Little Endian), a standard encoding used by Power BI for its internal JSON layout files. Applied correct decoding to recover the full JSON structure.</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5B2C8D"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03</w:t>
            </w:r>
          </w:p>
        </w:tc>
        <w:tc>
          <w:tcPr>
            <w:tcW w:type="dxa" w:w="8160"/>
            <w:tcBorders>
              <w:top w:val="single" w:color="CCCCCC" w:sz="1"/>
              <w:left w:val="single" w:color="CCCCCC" w:sz="1"/>
              <w:bottom w:val="single" w:color="CCCCCC" w:sz="1"/>
              <w:right w:val="single" w:color="CCCCCC" w:sz="1"/>
            </w:tcBorders>
            <w:shd w:fill="F4ECF7" w:val="clear"/>
            <w:tcMar>
              <w:top w:type="dxa" w:w="100"/>
              <w:left w:type="dxa" w:w="200"/>
              <w:bottom w:type="dxa" w:w="100"/>
              <w:right w:type="dxa" w:w="200"/>
            </w:tcMar>
          </w:tcPr>
          <w:p>
            <w:pPr>
              <w:spacing w:after="40"/>
            </w:pPr>
            <w:r>
              <w:rPr>
                <w:rFonts w:ascii="Arial" w:cs="Arial" w:eastAsia="Arial" w:hAnsi="Arial"/>
                <w:b/>
                <w:bCs/>
                <w:color w:val="5B2C8D"/>
                <w:sz w:val="22"/>
                <w:szCs w:val="22"/>
              </w:rPr>
              <w:t xml:space="preserve">JSON parsing</w:t>
            </w:r>
          </w:p>
          <w:p>
            <w:r>
              <w:rPr>
                <w:rFonts w:ascii="Arial" w:cs="Arial" w:eastAsia="Arial" w:hAnsi="Arial"/>
                <w:color w:val="444444"/>
                <w:sz w:val="20"/>
                <w:szCs w:val="20"/>
              </w:rPr>
              <w:t xml:space="preserve">Parsed the decoded layout JSON to enumerate all 5 report pages, their display names, and all visual containers (cards, charts, textboxes, slicers, maps).</w:t>
            </w:r>
          </w:p>
        </w:tc>
      </w:tr>
    </w:tbl>
    <w:p>
      <w:pPr>
        <w:spacing w:before="120"/>
      </w:pPr>
    </w:p>
    <w:p>
      <w:pPr>
        <w:pStyle w:val="Heading2"/>
        <w:spacing w:before="240" w:after="100"/>
      </w:pPr>
      <w:r>
        <w:rPr>
          <w:rFonts w:ascii="Arial" w:cs="Arial" w:eastAsia="Arial" w:hAnsi="Arial"/>
          <w:b/>
          <w:bCs/>
          <w:color w:val="5B2C8D"/>
          <w:sz w:val="26"/>
          <w:szCs w:val="26"/>
        </w:rPr>
        <w:t xml:space="preserve">Phase 2: Data Model and Metrics Discovery</w:t>
      </w:r>
    </w:p>
    <w:p>
      <w:pPr>
        <w:spacing w:before="80" w:after="100"/>
      </w:pPr>
      <w:r>
        <w:rPr>
          <w:rFonts w:ascii="Arial" w:cs="Arial" w:eastAsia="Arial" w:hAnsi="Arial"/>
          <w:sz w:val="22"/>
          <w:szCs w:val="22"/>
        </w:rPr>
        <w:t xml:space="preserve">The AI systematically extracted every measure, data table, and column reference embedded in the visual configurations:</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ABC9C"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04</w:t>
            </w:r>
          </w:p>
        </w:tc>
        <w:tc>
          <w:tcPr>
            <w:tcW w:type="dxa" w:w="8160"/>
            <w:tcBorders>
              <w:top w:val="single" w:color="CCCCCC" w:sz="1"/>
              <w:left w:val="single" w:color="CCCCCC" w:sz="1"/>
              <w:bottom w:val="single" w:color="CCCCCC" w:sz="1"/>
              <w:right w:val="single" w:color="CCCCCC" w:sz="1"/>
            </w:tcBorders>
            <w:shd w:fill="E8F8F5" w:val="clear"/>
            <w:tcMar>
              <w:top w:type="dxa" w:w="100"/>
              <w:left w:type="dxa" w:w="200"/>
              <w:bottom w:type="dxa" w:w="100"/>
              <w:right w:type="dxa" w:w="200"/>
            </w:tcMar>
          </w:tcPr>
          <w:p>
            <w:pPr>
              <w:spacing w:after="40"/>
            </w:pPr>
            <w:r>
              <w:rPr>
                <w:rFonts w:ascii="Arial" w:cs="Arial" w:eastAsia="Arial" w:hAnsi="Arial"/>
                <w:b/>
                <w:bCs/>
                <w:color w:val="1A8A6E"/>
                <w:sz w:val="22"/>
                <w:szCs w:val="22"/>
              </w:rPr>
              <w:t xml:space="preserve">Measure extraction</w:t>
            </w:r>
          </w:p>
          <w:p>
            <w:r>
              <w:rPr>
                <w:rFonts w:ascii="Arial" w:cs="Arial" w:eastAsia="Arial" w:hAnsi="Arial"/>
                <w:color w:val="444444"/>
                <w:sz w:val="20"/>
                <w:szCs w:val="20"/>
              </w:rPr>
              <w:t xml:space="preserve">Extracted all queryRef values — the DAX measure names used by each visual. This revealed 25+ distinct measures across tables including Facts, P2_02 (kWh per capita), P2_03 (renewable energy share), P2_04 (solar irradiance), P3_01 (generator ownership), and P3_03 (solar ROI model).</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ABC9C"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05</w:t>
            </w:r>
          </w:p>
        </w:tc>
        <w:tc>
          <w:tcPr>
            <w:tcW w:type="dxa" w:w="8160"/>
            <w:tcBorders>
              <w:top w:val="single" w:color="CCCCCC" w:sz="1"/>
              <w:left w:val="single" w:color="CCCCCC" w:sz="1"/>
              <w:bottom w:val="single" w:color="CCCCCC" w:sz="1"/>
              <w:right w:val="single" w:color="CCCCCC" w:sz="1"/>
            </w:tcBorders>
            <w:shd w:fill="E8F8F5" w:val="clear"/>
            <w:tcMar>
              <w:top w:type="dxa" w:w="100"/>
              <w:left w:type="dxa" w:w="200"/>
              <w:bottom w:type="dxa" w:w="100"/>
              <w:right w:type="dxa" w:w="200"/>
            </w:tcMar>
          </w:tcPr>
          <w:p>
            <w:pPr>
              <w:spacing w:after="40"/>
            </w:pPr>
            <w:r>
              <w:rPr>
                <w:rFonts w:ascii="Arial" w:cs="Arial" w:eastAsia="Arial" w:hAnsi="Arial"/>
                <w:b/>
                <w:bCs/>
                <w:color w:val="1A8A6E"/>
                <w:sz w:val="22"/>
                <w:szCs w:val="22"/>
              </w:rPr>
              <w:t xml:space="preserve">Entity/table mapping</w:t>
            </w:r>
          </w:p>
          <w:p>
            <w:r>
              <w:rPr>
                <w:rFonts w:ascii="Arial" w:cs="Arial" w:eastAsia="Arial" w:hAnsi="Arial"/>
                <w:color w:val="444444"/>
                <w:sz w:val="20"/>
                <w:szCs w:val="20"/>
              </w:rPr>
              <w:t xml:space="preserve">Identified 8 source data tables and mapped each measure to its originating entity, revealing the full data lineage from raw source tables to dashboard KPIs.</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ABC9C"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06</w:t>
            </w:r>
          </w:p>
        </w:tc>
        <w:tc>
          <w:tcPr>
            <w:tcW w:type="dxa" w:w="8160"/>
            <w:tcBorders>
              <w:top w:val="single" w:color="CCCCCC" w:sz="1"/>
              <w:left w:val="single" w:color="CCCCCC" w:sz="1"/>
              <w:bottom w:val="single" w:color="CCCCCC" w:sz="1"/>
              <w:right w:val="single" w:color="CCCCCC" w:sz="1"/>
            </w:tcBorders>
            <w:shd w:fill="E8F8F5" w:val="clear"/>
            <w:tcMar>
              <w:top w:type="dxa" w:w="100"/>
              <w:left w:type="dxa" w:w="200"/>
              <w:bottom w:type="dxa" w:w="100"/>
              <w:right w:type="dxa" w:w="200"/>
            </w:tcMar>
          </w:tcPr>
          <w:p>
            <w:pPr>
              <w:spacing w:after="40"/>
            </w:pPr>
            <w:r>
              <w:rPr>
                <w:rFonts w:ascii="Arial" w:cs="Arial" w:eastAsia="Arial" w:hAnsi="Arial"/>
                <w:b/>
                <w:bCs/>
                <w:color w:val="1A8A6E"/>
                <w:sz w:val="22"/>
                <w:szCs w:val="22"/>
              </w:rPr>
              <w:t xml:space="preserve">Property/column cataloguing</w:t>
            </w:r>
          </w:p>
          <w:p>
            <w:r>
              <w:rPr>
                <w:rFonts w:ascii="Arial" w:cs="Arial" w:eastAsia="Arial" w:hAnsi="Arial"/>
                <w:color w:val="444444"/>
                <w:sz w:val="20"/>
                <w:szCs w:val="20"/>
              </w:rPr>
              <w:t xml:space="preserve">Catalogued all column properties referenced across visuals, including financial metrics (Solar_Install_Cost_USD, Annual_Saving_Solar_vs_Diesel_USD, Payback_Period_Years), energy metrics (GHI_kWh_m2_yr, DNI_kWh_m2_yr, kWh_Per_Capita), and social metrics (Pop_Without_Electricity, Firms_Exp_Outage_Pct).</w:t>
            </w:r>
          </w:p>
        </w:tc>
      </w:tr>
    </w:tbl>
    <w:p>
      <w:pPr>
        <w:spacing w:before="120"/>
      </w:pPr>
    </w:p>
    <w:p>
      <w:pPr>
        <w:pStyle w:val="Heading2"/>
        <w:spacing w:before="240" w:after="100"/>
      </w:pPr>
      <w:r>
        <w:rPr>
          <w:rFonts w:ascii="Arial" w:cs="Arial" w:eastAsia="Arial" w:hAnsi="Arial"/>
          <w:b/>
          <w:bCs/>
          <w:color w:val="5B2C8D"/>
          <w:sz w:val="26"/>
          <w:szCs w:val="26"/>
        </w:rPr>
        <w:t xml:space="preserve">Phase 3: Narrative Content Extraction</w:t>
      </w:r>
    </w:p>
    <w:p>
      <w:pPr>
        <w:spacing w:before="80" w:after="100"/>
      </w:pPr>
      <w:r>
        <w:rPr>
          <w:rFonts w:ascii="Arial" w:cs="Arial" w:eastAsia="Arial" w:hAnsi="Arial"/>
          <w:sz w:val="22"/>
          <w:szCs w:val="22"/>
        </w:rPr>
        <w:t xml:space="preserve">Beyond the data model, the AI extracted textual content directly embedded in the dashboard's textbox visuals:</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5B2C8D"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07</w:t>
            </w:r>
          </w:p>
        </w:tc>
        <w:tc>
          <w:tcPr>
            <w:tcW w:type="dxa" w:w="8160"/>
            <w:tcBorders>
              <w:top w:val="single" w:color="CCCCCC" w:sz="1"/>
              <w:left w:val="single" w:color="CCCCCC" w:sz="1"/>
              <w:bottom w:val="single" w:color="CCCCCC" w:sz="1"/>
              <w:right w:val="single" w:color="CCCCCC" w:sz="1"/>
            </w:tcBorders>
            <w:shd w:fill="F4ECF7" w:val="clear"/>
            <w:tcMar>
              <w:top w:type="dxa" w:w="100"/>
              <w:left w:type="dxa" w:w="200"/>
              <w:bottom w:type="dxa" w:w="100"/>
              <w:right w:type="dxa" w:w="200"/>
            </w:tcMar>
          </w:tcPr>
          <w:p>
            <w:pPr>
              <w:spacing w:after="40"/>
            </w:pPr>
            <w:r>
              <w:rPr>
                <w:rFonts w:ascii="Arial" w:cs="Arial" w:eastAsia="Arial" w:hAnsi="Arial"/>
                <w:b/>
                <w:bCs/>
                <w:color w:val="5B2C8D"/>
                <w:sz w:val="22"/>
                <w:szCs w:val="22"/>
              </w:rPr>
              <w:t xml:space="preserve">Textbox content parsing</w:t>
            </w:r>
          </w:p>
          <w:p>
            <w:r>
              <w:rPr>
                <w:rFonts w:ascii="Arial" w:cs="Arial" w:eastAsia="Arial" w:hAnsi="Arial"/>
                <w:color w:val="444444"/>
                <w:sz w:val="20"/>
                <w:szCs w:val="20"/>
              </w:rPr>
              <w:t xml:space="preserve">Parsed all textbox visual configurations to recover the annotated statistics and source citations written by the dashboard authors, including: 80M+ Nigerians without electricity (ESMAP SDG7 2025), 92% South African firm outage rate (World Bank ES 2020), 96% Chadian firm outage rate (World Bank ES 2023), 40% citing electricity as #1 constraint (WB ES 2023), 28–34% health facilities with reliable power (WHO 2023), and $4B+ post-harvest losses.</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5B2C8D"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08</w:t>
            </w:r>
          </w:p>
        </w:tc>
        <w:tc>
          <w:tcPr>
            <w:tcW w:type="dxa" w:w="8160"/>
            <w:tcBorders>
              <w:top w:val="single" w:color="CCCCCC" w:sz="1"/>
              <w:left w:val="single" w:color="CCCCCC" w:sz="1"/>
              <w:bottom w:val="single" w:color="CCCCCC" w:sz="1"/>
              <w:right w:val="single" w:color="CCCCCC" w:sz="1"/>
            </w:tcBorders>
            <w:shd w:fill="F4ECF7" w:val="clear"/>
            <w:tcMar>
              <w:top w:type="dxa" w:w="100"/>
              <w:left w:type="dxa" w:w="200"/>
              <w:bottom w:type="dxa" w:w="100"/>
              <w:right w:type="dxa" w:w="200"/>
            </w:tcMar>
          </w:tcPr>
          <w:p>
            <w:pPr>
              <w:spacing w:after="40"/>
            </w:pPr>
            <w:r>
              <w:rPr>
                <w:rFonts w:ascii="Arial" w:cs="Arial" w:eastAsia="Arial" w:hAnsi="Arial"/>
                <w:b/>
                <w:bCs/>
                <w:color w:val="5B2C8D"/>
                <w:sz w:val="22"/>
                <w:szCs w:val="22"/>
              </w:rPr>
              <w:t xml:space="preserve">Page structure interpretation</w:t>
            </w:r>
          </w:p>
          <w:p>
            <w:r>
              <w:rPr>
                <w:rFonts w:ascii="Arial" w:cs="Arial" w:eastAsia="Arial" w:hAnsi="Arial"/>
                <w:color w:val="444444"/>
                <w:sz w:val="20"/>
                <w:szCs w:val="20"/>
              </w:rPr>
              <w:t xml:space="preserve">Mapped the 5 report pages (The_Problem, The_problem2, The_Opportunity, The_opportunity, The_Financial) to a logical narrative arc: problem statement → scale of crisis → solar viability → irradiance potential → financial case.</w:t>
            </w:r>
          </w:p>
        </w:tc>
      </w:tr>
    </w:tbl>
    <w:p>
      <w:pPr>
        <w:spacing w:before="120"/>
      </w:pPr>
    </w:p>
    <w:p>
      <w:pPr>
        <w:pStyle w:val="Heading2"/>
        <w:spacing w:before="240" w:after="100"/>
      </w:pPr>
      <w:r>
        <w:rPr>
          <w:rFonts w:ascii="Arial" w:cs="Arial" w:eastAsia="Arial" w:hAnsi="Arial"/>
          <w:b/>
          <w:bCs/>
          <w:color w:val="5B2C8D"/>
          <w:sz w:val="26"/>
          <w:szCs w:val="26"/>
        </w:rPr>
        <w:t xml:space="preserve">Phase 4: Synthesis and Report Generation</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ABC9C"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09</w:t>
            </w:r>
          </w:p>
        </w:tc>
        <w:tc>
          <w:tcPr>
            <w:tcW w:type="dxa" w:w="8160"/>
            <w:tcBorders>
              <w:top w:val="single" w:color="CCCCCC" w:sz="1"/>
              <w:left w:val="single" w:color="CCCCCC" w:sz="1"/>
              <w:bottom w:val="single" w:color="CCCCCC" w:sz="1"/>
              <w:right w:val="single" w:color="CCCCCC" w:sz="1"/>
            </w:tcBorders>
            <w:shd w:fill="E8F8F5" w:val="clear"/>
            <w:tcMar>
              <w:top w:type="dxa" w:w="100"/>
              <w:left w:type="dxa" w:w="200"/>
              <w:bottom w:type="dxa" w:w="100"/>
              <w:right w:type="dxa" w:w="200"/>
            </w:tcMar>
          </w:tcPr>
          <w:p>
            <w:pPr>
              <w:spacing w:after="40"/>
            </w:pPr>
            <w:r>
              <w:rPr>
                <w:rFonts w:ascii="Arial" w:cs="Arial" w:eastAsia="Arial" w:hAnsi="Arial"/>
                <w:b/>
                <w:bCs/>
                <w:color w:val="1A8A6E"/>
                <w:sz w:val="22"/>
                <w:szCs w:val="22"/>
              </w:rPr>
              <w:t xml:space="preserve">Cross-page insight synthesis</w:t>
            </w:r>
          </w:p>
          <w:p>
            <w:r>
              <w:rPr>
                <w:rFonts w:ascii="Arial" w:cs="Arial" w:eastAsia="Arial" w:hAnsi="Arial"/>
                <w:color w:val="444444"/>
                <w:sz w:val="20"/>
                <w:szCs w:val="20"/>
              </w:rPr>
              <w:t xml:space="preserve">Combined extracted statistics, measure definitions, and page-level narratives to derive insights not explicitly stated in any single visual — such as the 'generator trap' insight (firms already paying diesel costs &gt; solar annualised cost) and the health sector vertical opportunity.</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ABC9C"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10</w:t>
            </w:r>
          </w:p>
        </w:tc>
        <w:tc>
          <w:tcPr>
            <w:tcW w:type="dxa" w:w="8160"/>
            <w:tcBorders>
              <w:top w:val="single" w:color="CCCCCC" w:sz="1"/>
              <w:left w:val="single" w:color="CCCCCC" w:sz="1"/>
              <w:bottom w:val="single" w:color="CCCCCC" w:sz="1"/>
              <w:right w:val="single" w:color="CCCCCC" w:sz="1"/>
            </w:tcBorders>
            <w:shd w:fill="E8F8F5" w:val="clear"/>
            <w:tcMar>
              <w:top w:type="dxa" w:w="100"/>
              <w:left w:type="dxa" w:w="200"/>
              <w:bottom w:type="dxa" w:w="100"/>
              <w:right w:type="dxa" w:w="200"/>
            </w:tcMar>
          </w:tcPr>
          <w:p>
            <w:pPr>
              <w:spacing w:after="40"/>
            </w:pPr>
            <w:r>
              <w:rPr>
                <w:rFonts w:ascii="Arial" w:cs="Arial" w:eastAsia="Arial" w:hAnsi="Arial"/>
                <w:b/>
                <w:bCs/>
                <w:color w:val="1A8A6E"/>
                <w:sz w:val="22"/>
                <w:szCs w:val="22"/>
              </w:rPr>
              <w:t xml:space="preserve">Recommendation generation</w:t>
            </w:r>
          </w:p>
          <w:p>
            <w:r>
              <w:rPr>
                <w:rFonts w:ascii="Arial" w:cs="Arial" w:eastAsia="Arial" w:hAnsi="Arial"/>
                <w:color w:val="444444"/>
                <w:sz w:val="20"/>
                <w:szCs w:val="20"/>
              </w:rPr>
              <w:t xml:space="preserve">Formulated evidence-based recommendations using the intersection of: (a) countries with highest crisis indicators, (b) solar irradiance data, (c) SME financial model outputs, and (d) sector-specific data (health, agriculture).</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ABC9C"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11</w:t>
            </w:r>
          </w:p>
        </w:tc>
        <w:tc>
          <w:tcPr>
            <w:tcW w:type="dxa" w:w="8160"/>
            <w:tcBorders>
              <w:top w:val="single" w:color="CCCCCC" w:sz="1"/>
              <w:left w:val="single" w:color="CCCCCC" w:sz="1"/>
              <w:bottom w:val="single" w:color="CCCCCC" w:sz="1"/>
              <w:right w:val="single" w:color="CCCCCC" w:sz="1"/>
            </w:tcBorders>
            <w:shd w:fill="E8F8F5" w:val="clear"/>
            <w:tcMar>
              <w:top w:type="dxa" w:w="100"/>
              <w:left w:type="dxa" w:w="200"/>
              <w:bottom w:type="dxa" w:w="100"/>
              <w:right w:type="dxa" w:w="200"/>
            </w:tcMar>
          </w:tcPr>
          <w:p>
            <w:pPr>
              <w:spacing w:after="40"/>
            </w:pPr>
            <w:r>
              <w:rPr>
                <w:rFonts w:ascii="Arial" w:cs="Arial" w:eastAsia="Arial" w:hAnsi="Arial"/>
                <w:b/>
                <w:bCs/>
                <w:color w:val="1A8A6E"/>
                <w:sz w:val="22"/>
                <w:szCs w:val="22"/>
              </w:rPr>
              <w:t xml:space="preserve">Document creation</w:t>
            </w:r>
          </w:p>
          <w:p>
            <w:r>
              <w:rPr>
                <w:rFonts w:ascii="Arial" w:cs="Arial" w:eastAsia="Arial" w:hAnsi="Arial"/>
                <w:color w:val="444444"/>
                <w:sz w:val="20"/>
                <w:szCs w:val="20"/>
              </w:rPr>
              <w:t xml:space="preserve">Generated two professional Word (.docx) documents using the docx JavaScript library, with styled headings, KPI tables, colour-coded formatting, numbered recommendations, and source attribution — matching the SolarSense brand language.</w:t>
            </w:r>
          </w:p>
        </w:tc>
      </w:tr>
    </w:tbl>
    <w:p>
      <w:pPr>
        <w:pBdr>
          <w:bottom w:val="single" w:color="DDDDDD" w:sz="4"/>
        </w:pBdr>
        <w:spacing w:before="160" w:after="160"/>
      </w:pPr>
    </w:p>
    <w:p>
      <w:r>
        <w:br w:type="page"/>
      </w:r>
    </w:p>
    <w:p>
      <w:pPr>
        <w:pStyle w:val="Heading1"/>
        <w:pBdr>
          <w:bottom w:val="single" w:color="5B2C8D" w:sz="8" w:space="6"/>
        </w:pBdr>
        <w:spacing w:before="360" w:after="120"/>
      </w:pPr>
      <w:r>
        <w:rPr>
          <w:rFonts w:ascii="Arial" w:cs="Arial" w:eastAsia="Arial" w:hAnsi="Arial"/>
          <w:b/>
          <w:bCs/>
          <w:color w:val="5B2C8D"/>
          <w:sz w:val="32"/>
          <w:szCs w:val="32"/>
        </w:rPr>
        <w:t xml:space="preserve">Data Sources Used</w:t>
      </w:r>
    </w:p>
    <w:p>
      <w:pPr>
        <w:spacing w:before="80" w:after="100"/>
      </w:pPr>
      <w:r>
        <w:rPr>
          <w:rFonts w:ascii="Arial" w:cs="Arial" w:eastAsia="Arial" w:hAnsi="Arial"/>
          <w:sz w:val="22"/>
          <w:szCs w:val="22"/>
        </w:rPr>
        <w:t xml:space="preserve">All data referenced in the stakeholder report originates from the following sources, as identified within the SolarSense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360"/>
      </w:tblGrid>
      <w:tr>
        <w:tc>
          <w:tcPr>
            <w:tcW w:type="dxa" w:w="3500"/>
            <w:tcBorders>
              <w:top w:val="single" w:color="CCCCCC" w:sz="1"/>
              <w:left w:val="single" w:color="CCCCCC" w:sz="1"/>
              <w:bottom w:val="single" w:color="CCCCCC" w:sz="1"/>
              <w:right w:val="single" w:color="CCCCCC" w:sz="1"/>
            </w:tcBorders>
            <w:shd w:fill="5B2C8D" w:val="clear"/>
            <w:tcMar>
              <w:top w:type="dxa" w:w="100"/>
              <w:left w:type="dxa" w:w="160"/>
              <w:bottom w:type="dxa" w:w="100"/>
              <w:right w:type="dxa" w:w="160"/>
            </w:tcMar>
          </w:tcPr>
          <w:p>
            <w:r>
              <w:rPr>
                <w:rFonts w:ascii="Arial" w:cs="Arial" w:eastAsia="Arial" w:hAnsi="Arial"/>
                <w:b/>
                <w:bCs/>
                <w:color w:val="FFFFFF"/>
                <w:sz w:val="20"/>
                <w:szCs w:val="20"/>
              </w:rPr>
              <w:t xml:space="preserve">Source</w:t>
            </w:r>
          </w:p>
        </w:tc>
        <w:tc>
          <w:tcPr>
            <w:tcW w:type="dxa" w:w="3500"/>
            <w:tcBorders>
              <w:top w:val="single" w:color="CCCCCC" w:sz="1"/>
              <w:left w:val="single" w:color="CCCCCC" w:sz="1"/>
              <w:bottom w:val="single" w:color="CCCCCC" w:sz="1"/>
              <w:right w:val="single" w:color="CCCCCC" w:sz="1"/>
            </w:tcBorders>
            <w:shd w:fill="5B2C8D" w:val="clear"/>
            <w:tcMar>
              <w:top w:type="dxa" w:w="100"/>
              <w:left w:type="dxa" w:w="160"/>
              <w:bottom w:type="dxa" w:w="100"/>
              <w:right w:type="dxa" w:w="160"/>
            </w:tcMar>
          </w:tcPr>
          <w:p>
            <w:r>
              <w:rPr>
                <w:rFonts w:ascii="Arial" w:cs="Arial" w:eastAsia="Arial" w:hAnsi="Arial"/>
                <w:b/>
                <w:bCs/>
                <w:color w:val="FFFFFF"/>
                <w:sz w:val="20"/>
                <w:szCs w:val="20"/>
              </w:rPr>
              <w:t xml:space="preserve">Dashboard Table / Measure</w:t>
            </w:r>
          </w:p>
        </w:tc>
        <w:tc>
          <w:tcPr>
            <w:tcW w:type="dxa" w:w="2360"/>
            <w:tcBorders>
              <w:top w:val="single" w:color="CCCCCC" w:sz="1"/>
              <w:left w:val="single" w:color="CCCCCC" w:sz="1"/>
              <w:bottom w:val="single" w:color="CCCCCC" w:sz="1"/>
              <w:right w:val="single" w:color="CCCCCC" w:sz="1"/>
            </w:tcBorders>
            <w:shd w:fill="5B2C8D" w:val="clear"/>
            <w:tcMar>
              <w:top w:type="dxa" w:w="100"/>
              <w:left w:type="dxa" w:w="160"/>
              <w:bottom w:type="dxa" w:w="100"/>
              <w:right w:type="dxa" w:w="160"/>
            </w:tcMar>
          </w:tcPr>
          <w:p>
            <w:r>
              <w:rPr>
                <w:rFonts w:ascii="Arial" w:cs="Arial" w:eastAsia="Arial" w:hAnsi="Arial"/>
                <w:b/>
                <w:bCs/>
                <w:color w:val="FFFFFF"/>
                <w:sz w:val="20"/>
                <w:szCs w:val="20"/>
              </w:rPr>
              <w:t xml:space="preserve">Coverage</w:t>
            </w:r>
          </w:p>
        </w:tc>
      </w:tr>
      <w:tr>
        <w:tc>
          <w:tcPr>
            <w:tcW w:type="dxa" w:w="3500"/>
            <w:tcBorders>
              <w:top w:val="single" w:color="CCCCCC" w:sz="1"/>
              <w:left w:val="single" w:color="CCCCCC" w:sz="1"/>
              <w:bottom w:val="single" w:color="CCCCCC" w:sz="1"/>
              <w:right w:val="single" w:color="CCCCCC" w:sz="1"/>
            </w:tcBorders>
            <w:shd w:fill="F4ECF7" w:val="clear"/>
            <w:tcMar>
              <w:top w:type="dxa" w:w="80"/>
              <w:left w:type="dxa" w:w="160"/>
              <w:bottom w:type="dxa" w:w="80"/>
              <w:right w:type="dxa" w:w="160"/>
            </w:tcMar>
          </w:tcPr>
          <w:p>
            <w:r>
              <w:rPr>
                <w:rFonts w:ascii="Arial" w:cs="Arial" w:eastAsia="Arial" w:hAnsi="Arial"/>
                <w:b/>
                <w:bCs/>
                <w:sz w:val="20"/>
                <w:szCs w:val="20"/>
              </w:rPr>
              <w:t xml:space="preserve">ESMAP SDG7 Tracking 2025</w:t>
            </w:r>
          </w:p>
        </w:tc>
        <w:tc>
          <w:tcPr>
            <w:tcW w:type="dxa" w:w="3500"/>
            <w:tcBorders>
              <w:top w:val="single" w:color="CCCCCC" w:sz="1"/>
              <w:left w:val="single" w:color="CCCCCC" w:sz="1"/>
              <w:bottom w:val="single" w:color="CCCCCC" w:sz="1"/>
              <w:right w:val="single" w:color="CCCCCC" w:sz="1"/>
            </w:tcBorders>
            <w:shd w:fill="F4ECF7" w:val="clear"/>
            <w:tcMar>
              <w:top w:type="dxa" w:w="80"/>
              <w:left w:type="dxa" w:w="160"/>
              <w:bottom w:type="dxa" w:w="80"/>
              <w:right w:type="dxa" w:w="160"/>
            </w:tcMar>
          </w:tcPr>
          <w:p>
            <w:r>
              <w:rPr>
                <w:rFonts w:ascii="Courier New" w:cs="Courier New" w:eastAsia="Courier New" w:hAnsi="Courier New"/>
                <w:color w:val="555555"/>
                <w:sz w:val="18"/>
                <w:szCs w:val="18"/>
              </w:rPr>
              <w:t xml:space="preserve">Facts (Pop_Without_Electricity, E.Access_Pct_Total)</w:t>
            </w:r>
          </w:p>
        </w:tc>
        <w:tc>
          <w:tcPr>
            <w:tcW w:type="dxa" w:w="2360"/>
            <w:tcBorders>
              <w:top w:val="single" w:color="CCCCCC" w:sz="1"/>
              <w:left w:val="single" w:color="CCCCCC" w:sz="1"/>
              <w:bottom w:val="single" w:color="CCCCCC" w:sz="1"/>
              <w:right w:val="single" w:color="CCCCCC" w:sz="1"/>
            </w:tcBorders>
            <w:shd w:fill="F4ECF7" w:val="clear"/>
            <w:tcMar>
              <w:top w:type="dxa" w:w="80"/>
              <w:left w:type="dxa" w:w="160"/>
              <w:bottom w:type="dxa" w:w="80"/>
              <w:right w:type="dxa" w:w="160"/>
            </w:tcMar>
          </w:tcPr>
          <w:p>
            <w:r>
              <w:rPr>
                <w:rFonts w:ascii="Arial" w:cs="Arial" w:eastAsia="Arial" w:hAnsi="Arial"/>
                <w:sz w:val="20"/>
                <w:szCs w:val="20"/>
              </w:rPr>
              <w:t xml:space="preserve">Country-level energy access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sz w:val="20"/>
                <w:szCs w:val="20"/>
              </w:rPr>
              <w:t xml:space="preserve">World Bank Enterprise Surveys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555555"/>
                <w:sz w:val="18"/>
                <w:szCs w:val="18"/>
              </w:rPr>
              <w:t xml:space="preserve">Facts, firms_outages, P3_01_generator_ownership_verified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Firm-level outage &amp; generator data</w:t>
            </w:r>
          </w:p>
        </w:tc>
      </w:tr>
      <w:tr>
        <w:tc>
          <w:tcPr>
            <w:tcW w:type="dxa" w:w="3500"/>
            <w:tcBorders>
              <w:top w:val="single" w:color="CCCCCC" w:sz="1"/>
              <w:left w:val="single" w:color="CCCCCC" w:sz="1"/>
              <w:bottom w:val="single" w:color="CCCCCC" w:sz="1"/>
              <w:right w:val="single" w:color="CCCCCC" w:sz="1"/>
            </w:tcBorders>
            <w:shd w:fill="F4ECF7" w:val="clear"/>
            <w:tcMar>
              <w:top w:type="dxa" w:w="80"/>
              <w:left w:type="dxa" w:w="160"/>
              <w:bottom w:type="dxa" w:w="80"/>
              <w:right w:type="dxa" w:w="160"/>
            </w:tcMar>
          </w:tcPr>
          <w:p>
            <w:r>
              <w:rPr>
                <w:rFonts w:ascii="Arial" w:cs="Arial" w:eastAsia="Arial" w:hAnsi="Arial"/>
                <w:b/>
                <w:bCs/>
                <w:sz w:val="20"/>
                <w:szCs w:val="20"/>
              </w:rPr>
              <w:t xml:space="preserve">WHO 2023</w:t>
            </w:r>
          </w:p>
        </w:tc>
        <w:tc>
          <w:tcPr>
            <w:tcW w:type="dxa" w:w="3500"/>
            <w:tcBorders>
              <w:top w:val="single" w:color="CCCCCC" w:sz="1"/>
              <w:left w:val="single" w:color="CCCCCC" w:sz="1"/>
              <w:bottom w:val="single" w:color="CCCCCC" w:sz="1"/>
              <w:right w:val="single" w:color="CCCCCC" w:sz="1"/>
            </w:tcBorders>
            <w:shd w:fill="F4ECF7" w:val="clear"/>
            <w:tcMar>
              <w:top w:type="dxa" w:w="80"/>
              <w:left w:type="dxa" w:w="160"/>
              <w:bottom w:type="dxa" w:w="80"/>
              <w:right w:type="dxa" w:w="160"/>
            </w:tcMar>
          </w:tcPr>
          <w:p>
            <w:r>
              <w:rPr>
                <w:rFonts w:ascii="Courier New" w:cs="Courier New" w:eastAsia="Courier New" w:hAnsi="Courier New"/>
                <w:color w:val="555555"/>
                <w:sz w:val="18"/>
                <w:szCs w:val="18"/>
              </w:rPr>
              <w:t xml:space="preserve">Dashboard textbox annotations</w:t>
            </w:r>
          </w:p>
        </w:tc>
        <w:tc>
          <w:tcPr>
            <w:tcW w:type="dxa" w:w="2360"/>
            <w:tcBorders>
              <w:top w:val="single" w:color="CCCCCC" w:sz="1"/>
              <w:left w:val="single" w:color="CCCCCC" w:sz="1"/>
              <w:bottom w:val="single" w:color="CCCCCC" w:sz="1"/>
              <w:right w:val="single" w:color="CCCCCC" w:sz="1"/>
            </w:tcBorders>
            <w:shd w:fill="F4ECF7" w:val="clear"/>
            <w:tcMar>
              <w:top w:type="dxa" w:w="80"/>
              <w:left w:type="dxa" w:w="160"/>
              <w:bottom w:type="dxa" w:w="80"/>
              <w:right w:type="dxa" w:w="160"/>
            </w:tcMar>
          </w:tcPr>
          <w:p>
            <w:r>
              <w:rPr>
                <w:rFonts w:ascii="Arial" w:cs="Arial" w:eastAsia="Arial" w:hAnsi="Arial"/>
                <w:sz w:val="20"/>
                <w:szCs w:val="20"/>
              </w:rPr>
              <w:t xml:space="preserve">Health facility power reliability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sz w:val="20"/>
                <w:szCs w:val="20"/>
              </w:rPr>
              <w:t xml:space="preserve">Global Solar Atlas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555555"/>
                <w:sz w:val="18"/>
                <w:szCs w:val="18"/>
              </w:rPr>
              <w:t xml:space="preserve">P2_04_solar_ghi_potential_GlobalSolarAtlas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GHI &amp; DNI irradiance by country</w:t>
            </w:r>
          </w:p>
        </w:tc>
      </w:tr>
      <w:tr>
        <w:tc>
          <w:tcPr>
            <w:tcW w:type="dxa" w:w="3500"/>
            <w:tcBorders>
              <w:top w:val="single" w:color="CCCCCC" w:sz="1"/>
              <w:left w:val="single" w:color="CCCCCC" w:sz="1"/>
              <w:bottom w:val="single" w:color="CCCCCC" w:sz="1"/>
              <w:right w:val="single" w:color="CCCCCC" w:sz="1"/>
            </w:tcBorders>
            <w:shd w:fill="F4ECF7" w:val="clear"/>
            <w:tcMar>
              <w:top w:type="dxa" w:w="80"/>
              <w:left w:type="dxa" w:w="160"/>
              <w:bottom w:type="dxa" w:w="80"/>
              <w:right w:type="dxa" w:w="160"/>
            </w:tcMar>
          </w:tcPr>
          <w:p>
            <w:r>
              <w:rPr>
                <w:rFonts w:ascii="Arial" w:cs="Arial" w:eastAsia="Arial" w:hAnsi="Arial"/>
                <w:b/>
                <w:bCs/>
                <w:sz w:val="20"/>
                <w:szCs w:val="20"/>
              </w:rPr>
              <w:t xml:space="preserve">World Bank EG.USE.ELEC.KH.PC</w:t>
            </w:r>
          </w:p>
        </w:tc>
        <w:tc>
          <w:tcPr>
            <w:tcW w:type="dxa" w:w="3500"/>
            <w:tcBorders>
              <w:top w:val="single" w:color="CCCCCC" w:sz="1"/>
              <w:left w:val="single" w:color="CCCCCC" w:sz="1"/>
              <w:bottom w:val="single" w:color="CCCCCC" w:sz="1"/>
              <w:right w:val="single" w:color="CCCCCC" w:sz="1"/>
            </w:tcBorders>
            <w:shd w:fill="F4ECF7" w:val="clear"/>
            <w:tcMar>
              <w:top w:type="dxa" w:w="80"/>
              <w:left w:type="dxa" w:w="160"/>
              <w:bottom w:type="dxa" w:w="80"/>
              <w:right w:type="dxa" w:w="160"/>
            </w:tcMar>
          </w:tcPr>
          <w:p>
            <w:r>
              <w:rPr>
                <w:rFonts w:ascii="Courier New" w:cs="Courier New" w:eastAsia="Courier New" w:hAnsi="Courier New"/>
                <w:color w:val="555555"/>
                <w:sz w:val="18"/>
                <w:szCs w:val="18"/>
              </w:rPr>
              <w:t xml:space="preserve">P2_02_kwh_per_capita</w:t>
            </w:r>
          </w:p>
        </w:tc>
        <w:tc>
          <w:tcPr>
            <w:tcW w:type="dxa" w:w="2360"/>
            <w:tcBorders>
              <w:top w:val="single" w:color="CCCCCC" w:sz="1"/>
              <w:left w:val="single" w:color="CCCCCC" w:sz="1"/>
              <w:bottom w:val="single" w:color="CCCCCC" w:sz="1"/>
              <w:right w:val="single" w:color="CCCCCC" w:sz="1"/>
            </w:tcBorders>
            <w:shd w:fill="F4ECF7" w:val="clear"/>
            <w:tcMar>
              <w:top w:type="dxa" w:w="80"/>
              <w:left w:type="dxa" w:w="160"/>
              <w:bottom w:type="dxa" w:w="80"/>
              <w:right w:type="dxa" w:w="160"/>
            </w:tcMar>
          </w:tcPr>
          <w:p>
            <w:r>
              <w:rPr>
                <w:rFonts w:ascii="Arial" w:cs="Arial" w:eastAsia="Arial" w:hAnsi="Arial"/>
                <w:sz w:val="20"/>
                <w:szCs w:val="20"/>
              </w:rPr>
              <w:t xml:space="preserve">Per capita electricity consumption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sz w:val="20"/>
                <w:szCs w:val="20"/>
              </w:rPr>
              <w:t xml:space="preserve">SolarSense ROI Model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555555"/>
                <w:sz w:val="18"/>
                <w:szCs w:val="18"/>
              </w:rPr>
              <w:t xml:space="preserve">P3_03_solar_roi_model</w:t>
            </w:r>
          </w:p>
        </w:tc>
        <w:tc>
          <w:tcPr>
            <w:tcW w:type="dxa" w:w="2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Custom solar financial modelling</w:t>
            </w:r>
          </w:p>
        </w:tc>
      </w:tr>
      <w:tr>
        <w:tc>
          <w:tcPr>
            <w:tcW w:type="dxa" w:w="3500"/>
            <w:tcBorders>
              <w:top w:val="single" w:color="CCCCCC" w:sz="1"/>
              <w:left w:val="single" w:color="CCCCCC" w:sz="1"/>
              <w:bottom w:val="single" w:color="CCCCCC" w:sz="1"/>
              <w:right w:val="single" w:color="CCCCCC" w:sz="1"/>
            </w:tcBorders>
            <w:shd w:fill="F4ECF7" w:val="clear"/>
            <w:tcMar>
              <w:top w:type="dxa" w:w="80"/>
              <w:left w:type="dxa" w:w="160"/>
              <w:bottom w:type="dxa" w:w="80"/>
              <w:right w:type="dxa" w:w="160"/>
            </w:tcMar>
          </w:tcPr>
          <w:p>
            <w:r>
              <w:rPr>
                <w:rFonts w:ascii="Arial" w:cs="Arial" w:eastAsia="Arial" w:hAnsi="Arial"/>
                <w:b/>
                <w:bCs/>
                <w:sz w:val="20"/>
                <w:szCs w:val="20"/>
              </w:rPr>
              <w:t xml:space="preserve">Renewable Energy Share Data</w:t>
            </w:r>
          </w:p>
        </w:tc>
        <w:tc>
          <w:tcPr>
            <w:tcW w:type="dxa" w:w="3500"/>
            <w:tcBorders>
              <w:top w:val="single" w:color="CCCCCC" w:sz="1"/>
              <w:left w:val="single" w:color="CCCCCC" w:sz="1"/>
              <w:bottom w:val="single" w:color="CCCCCC" w:sz="1"/>
              <w:right w:val="single" w:color="CCCCCC" w:sz="1"/>
            </w:tcBorders>
            <w:shd w:fill="F4ECF7" w:val="clear"/>
            <w:tcMar>
              <w:top w:type="dxa" w:w="80"/>
              <w:left w:type="dxa" w:w="160"/>
              <w:bottom w:type="dxa" w:w="80"/>
              <w:right w:type="dxa" w:w="160"/>
            </w:tcMar>
          </w:tcPr>
          <w:p>
            <w:r>
              <w:rPr>
                <w:rFonts w:ascii="Courier New" w:cs="Courier New" w:eastAsia="Courier New" w:hAnsi="Courier New"/>
                <w:color w:val="555555"/>
                <w:sz w:val="18"/>
                <w:szCs w:val="18"/>
              </w:rPr>
              <w:t xml:space="preserve">P2_03_renewable_energy_share</w:t>
            </w:r>
          </w:p>
        </w:tc>
        <w:tc>
          <w:tcPr>
            <w:tcW w:type="dxa" w:w="2360"/>
            <w:tcBorders>
              <w:top w:val="single" w:color="CCCCCC" w:sz="1"/>
              <w:left w:val="single" w:color="CCCCCC" w:sz="1"/>
              <w:bottom w:val="single" w:color="CCCCCC" w:sz="1"/>
              <w:right w:val="single" w:color="CCCCCC" w:sz="1"/>
            </w:tcBorders>
            <w:shd w:fill="F4ECF7" w:val="clear"/>
            <w:tcMar>
              <w:top w:type="dxa" w:w="80"/>
              <w:left w:type="dxa" w:w="160"/>
              <w:bottom w:type="dxa" w:w="80"/>
              <w:right w:type="dxa" w:w="160"/>
            </w:tcMar>
          </w:tcPr>
          <w:p>
            <w:r>
              <w:rPr>
                <w:rFonts w:ascii="Arial" w:cs="Arial" w:eastAsia="Arial" w:hAnsi="Arial"/>
                <w:sz w:val="20"/>
                <w:szCs w:val="20"/>
              </w:rPr>
              <w:t xml:space="preserve">Renewable % of final energy</w:t>
            </w:r>
          </w:p>
        </w:tc>
      </w:tr>
    </w:tbl>
    <w:p>
      <w:pPr>
        <w:spacing w:before="120"/>
      </w:pPr>
    </w:p>
    <w:p>
      <w:pPr>
        <w:pBdr>
          <w:bottom w:val="single" w:color="DDDDDD" w:sz="4"/>
        </w:pBdr>
        <w:spacing w:before="160" w:after="160"/>
      </w:pPr>
    </w:p>
    <w:p>
      <w:pPr>
        <w:pStyle w:val="Heading1"/>
        <w:pBdr>
          <w:bottom w:val="single" w:color="5B2C8D" w:sz="8" w:space="6"/>
        </w:pBdr>
        <w:spacing w:before="360" w:after="120"/>
      </w:pPr>
      <w:r>
        <w:rPr>
          <w:rFonts w:ascii="Arial" w:cs="Arial" w:eastAsia="Arial" w:hAnsi="Arial"/>
          <w:b/>
          <w:bCs/>
          <w:color w:val="5B2C8D"/>
          <w:sz w:val="32"/>
          <w:szCs w:val="32"/>
        </w:rPr>
        <w:t xml:space="preserve">What the AI Did NOT Do</w:t>
      </w:r>
    </w:p>
    <w:p>
      <w:pPr>
        <w:spacing w:before="80" w:after="100"/>
      </w:pPr>
      <w:r>
        <w:rPr>
          <w:rFonts w:ascii="Arial" w:cs="Arial" w:eastAsia="Arial" w:hAnsi="Arial"/>
          <w:sz w:val="22"/>
          <w:szCs w:val="22"/>
        </w:rPr>
        <w:t xml:space="preserve">In the interest of full transparency, the following were not part of the AI's analytical process:</w:t>
      </w:r>
    </w:p>
    <w:p>
      <w:pPr>
        <w:pStyle w:val="ListParagraph"/>
        <w:numPr>
          <w:ilvl w:val="0"/>
          <w:numId w:val="2"/>
        </w:numPr>
        <w:spacing w:before="60" w:after="60"/>
      </w:pPr>
      <w:r>
        <w:rPr>
          <w:rFonts w:ascii="Arial" w:cs="Arial" w:eastAsia="Arial" w:hAnsi="Arial"/>
          <w:b/>
          <w:bCs/>
          <w:sz w:val="22"/>
          <w:szCs w:val="22"/>
        </w:rPr>
        <w:t xml:space="preserve">No external data lookups:</w:t>
      </w:r>
      <w:r>
        <w:rPr>
          <w:rFonts w:ascii="Arial" w:cs="Arial" w:eastAsia="Arial" w:hAnsi="Arial"/>
          <w:sz w:val="22"/>
          <w:szCs w:val="22"/>
        </w:rPr>
        <w:t xml:space="preserve"> All statistics came from within the .pbix file. No web searches were conducted to supplement the dashboard data.</w:t>
      </w:r>
    </w:p>
    <w:p>
      <w:pPr>
        <w:pStyle w:val="ListParagraph"/>
        <w:numPr>
          <w:ilvl w:val="0"/>
          <w:numId w:val="2"/>
        </w:numPr>
        <w:spacing w:before="60" w:after="60"/>
      </w:pPr>
      <w:r>
        <w:rPr>
          <w:rFonts w:ascii="Arial" w:cs="Arial" w:eastAsia="Arial" w:hAnsi="Arial"/>
          <w:b/>
          <w:bCs/>
          <w:sz w:val="22"/>
          <w:szCs w:val="22"/>
        </w:rPr>
        <w:t xml:space="preserve">No assumptions about actual data values:</w:t>
      </w:r>
      <w:r>
        <w:rPr>
          <w:rFonts w:ascii="Arial" w:cs="Arial" w:eastAsia="Arial" w:hAnsi="Arial"/>
          <w:sz w:val="22"/>
          <w:szCs w:val="22"/>
        </w:rPr>
        <w:t xml:space="preserve"> The dashboard data model was identified and mapped, but actual aggregate values (e.g., specific country kWh/m² figures) were not calculated — recommendations are based on the structure and known field definitions.</w:t>
      </w:r>
    </w:p>
    <w:p>
      <w:pPr>
        <w:pStyle w:val="ListParagraph"/>
        <w:numPr>
          <w:ilvl w:val="0"/>
          <w:numId w:val="2"/>
        </w:numPr>
        <w:spacing w:before="60" w:after="60"/>
      </w:pPr>
      <w:r>
        <w:rPr>
          <w:rFonts w:ascii="Arial" w:cs="Arial" w:eastAsia="Arial" w:hAnsi="Arial"/>
          <w:b/>
          <w:bCs/>
          <w:sz w:val="22"/>
          <w:szCs w:val="22"/>
        </w:rPr>
        <w:t xml:space="preserve">No hallucinated statistics:</w:t>
      </w:r>
      <w:r>
        <w:rPr>
          <w:rFonts w:ascii="Arial" w:cs="Arial" w:eastAsia="Arial" w:hAnsi="Arial"/>
          <w:sz w:val="22"/>
          <w:szCs w:val="22"/>
        </w:rPr>
        <w:t xml:space="preserve"> Every number cited in the stakeholder report (80M+, 92%, 96%, 40%, 28–34%, $4B+) was extracted directly from annotated textbox content within the dashboard, complete with original source citations.</w:t>
      </w:r>
    </w:p>
    <w:p>
      <w:pPr>
        <w:pStyle w:val="ListParagraph"/>
        <w:numPr>
          <w:ilvl w:val="0"/>
          <w:numId w:val="2"/>
        </w:numPr>
        <w:spacing w:before="60" w:after="60"/>
      </w:pPr>
      <w:r>
        <w:rPr>
          <w:rFonts w:ascii="Arial" w:cs="Arial" w:eastAsia="Arial" w:hAnsi="Arial"/>
          <w:b/>
          <w:bCs/>
          <w:sz w:val="22"/>
          <w:szCs w:val="22"/>
        </w:rPr>
        <w:t xml:space="preserve">No visual rendering:</w:t>
      </w:r>
      <w:r>
        <w:rPr>
          <w:rFonts w:ascii="Arial" w:cs="Arial" w:eastAsia="Arial" w:hAnsi="Arial"/>
          <w:sz w:val="22"/>
          <w:szCs w:val="22"/>
        </w:rPr>
        <w:t xml:space="preserve"> The .pbix data model was parsed programmatically. Chart outputs (bar charts, maps, line graphs) were not visually rendered — insights were derived from measure definitions and textual annotations.</w:t>
      </w:r>
    </w:p>
    <w:p>
      <w:pPr>
        <w:pBdr>
          <w:bottom w:val="single" w:color="DDDDDD" w:sz="4"/>
        </w:pBdr>
        <w:spacing w:before="160" w:after="160"/>
      </w:pPr>
    </w:p>
    <w:p>
      <w:pPr>
        <w:pStyle w:val="Heading1"/>
        <w:pBdr>
          <w:bottom w:val="single" w:color="5B2C8D" w:sz="8" w:space="6"/>
        </w:pBdr>
        <w:spacing w:before="360" w:after="120"/>
      </w:pPr>
      <w:r>
        <w:rPr>
          <w:rFonts w:ascii="Arial" w:cs="Arial" w:eastAsia="Arial" w:hAnsi="Arial"/>
          <w:b/>
          <w:bCs/>
          <w:color w:val="5B2C8D"/>
          <w:sz w:val="32"/>
          <w:szCs w:val="32"/>
        </w:rPr>
        <w:t xml:space="preserve">AI Tool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4ECF7" w:val="clear"/>
            <w:tcMar>
              <w:top w:type="dxa" w:w="80"/>
              <w:left w:type="dxa" w:w="160"/>
              <w:bottom w:type="dxa" w:w="80"/>
              <w:right w:type="dxa" w:w="160"/>
            </w:tcMar>
          </w:tcPr>
          <w:p>
            <w:r>
              <w:rPr>
                <w:rFonts w:ascii="Arial" w:cs="Arial" w:eastAsia="Arial" w:hAnsi="Arial"/>
                <w:b/>
                <w:bCs/>
                <w:sz w:val="20"/>
                <w:szCs w:val="20"/>
              </w:rPr>
              <w:t xml:space="preserve">AI Model</w:t>
            </w:r>
          </w:p>
        </w:tc>
        <w:tc>
          <w:tcPr>
            <w:tcW w:type="dxa" w:w="6360"/>
            <w:tcBorders>
              <w:top w:val="single" w:color="CCCCCC" w:sz="1"/>
              <w:left w:val="single" w:color="CCCCCC" w:sz="1"/>
              <w:bottom w:val="single" w:color="CCCCCC" w:sz="1"/>
              <w:right w:val="single" w:color="CCCCCC" w:sz="1"/>
            </w:tcBorders>
            <w:shd w:fill="F4ECF7" w:val="clear"/>
            <w:tcMar>
              <w:top w:type="dxa" w:w="80"/>
              <w:left w:type="dxa" w:w="160"/>
              <w:bottom w:type="dxa" w:w="80"/>
              <w:right w:type="dxa" w:w="160"/>
            </w:tcMar>
          </w:tcPr>
          <w:p>
            <w:r>
              <w:rPr>
                <w:rFonts w:ascii="Arial" w:cs="Arial" w:eastAsia="Arial" w:hAnsi="Arial"/>
                <w:sz w:val="20"/>
                <w:szCs w:val="20"/>
              </w:rPr>
              <w:t xml:space="preserve">Claude Sonnet (Anthropic)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sz w:val="20"/>
                <w:szCs w:val="20"/>
              </w:rPr>
              <w:t xml:space="preserve">Interface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Claude.ai Web Application</w:t>
            </w:r>
          </w:p>
        </w:tc>
      </w:tr>
      <w:tr>
        <w:tc>
          <w:tcPr>
            <w:tcW w:type="dxa" w:w="3000"/>
            <w:tcBorders>
              <w:top w:val="single" w:color="CCCCCC" w:sz="1"/>
              <w:left w:val="single" w:color="CCCCCC" w:sz="1"/>
              <w:bottom w:val="single" w:color="CCCCCC" w:sz="1"/>
              <w:right w:val="single" w:color="CCCCCC" w:sz="1"/>
            </w:tcBorders>
            <w:shd w:fill="F4ECF7" w:val="clear"/>
            <w:tcMar>
              <w:top w:type="dxa" w:w="80"/>
              <w:left w:type="dxa" w:w="160"/>
              <w:bottom w:type="dxa" w:w="80"/>
              <w:right w:type="dxa" w:w="160"/>
            </w:tcMar>
          </w:tcPr>
          <w:p>
            <w:r>
              <w:rPr>
                <w:rFonts w:ascii="Arial" w:cs="Arial" w:eastAsia="Arial" w:hAnsi="Arial"/>
                <w:b/>
                <w:bCs/>
                <w:sz w:val="20"/>
                <w:szCs w:val="20"/>
              </w:rPr>
              <w:t xml:space="preserve">Date of Analysis</w:t>
            </w:r>
          </w:p>
        </w:tc>
        <w:tc>
          <w:tcPr>
            <w:tcW w:type="dxa" w:w="6360"/>
            <w:tcBorders>
              <w:top w:val="single" w:color="CCCCCC" w:sz="1"/>
              <w:left w:val="single" w:color="CCCCCC" w:sz="1"/>
              <w:bottom w:val="single" w:color="CCCCCC" w:sz="1"/>
              <w:right w:val="single" w:color="CCCCCC" w:sz="1"/>
            </w:tcBorders>
            <w:shd w:fill="F4ECF7" w:val="clear"/>
            <w:tcMar>
              <w:top w:type="dxa" w:w="80"/>
              <w:left w:type="dxa" w:w="160"/>
              <w:bottom w:type="dxa" w:w="80"/>
              <w:right w:type="dxa" w:w="160"/>
            </w:tcMar>
          </w:tcPr>
          <w:p>
            <w:r>
              <w:rPr>
                <w:rFonts w:ascii="Arial" w:cs="Arial" w:eastAsia="Arial" w:hAnsi="Arial"/>
                <w:sz w:val="20"/>
                <w:szCs w:val="20"/>
              </w:rPr>
              <w:t xml:space="preserve">February 2026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sz w:val="20"/>
                <w:szCs w:val="20"/>
              </w:rPr>
              <w:t xml:space="preserve">File Analysed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SolarSense.pbix (Power BI Desktop file)</w:t>
            </w:r>
          </w:p>
        </w:tc>
      </w:tr>
      <w:tr>
        <w:tc>
          <w:tcPr>
            <w:tcW w:type="dxa" w:w="3000"/>
            <w:tcBorders>
              <w:top w:val="single" w:color="CCCCCC" w:sz="1"/>
              <w:left w:val="single" w:color="CCCCCC" w:sz="1"/>
              <w:bottom w:val="single" w:color="CCCCCC" w:sz="1"/>
              <w:right w:val="single" w:color="CCCCCC" w:sz="1"/>
            </w:tcBorders>
            <w:shd w:fill="F4ECF7" w:val="clear"/>
            <w:tcMar>
              <w:top w:type="dxa" w:w="80"/>
              <w:left w:type="dxa" w:w="160"/>
              <w:bottom w:type="dxa" w:w="80"/>
              <w:right w:type="dxa" w:w="160"/>
            </w:tcMar>
          </w:tcPr>
          <w:p>
            <w:r>
              <w:rPr>
                <w:rFonts w:ascii="Arial" w:cs="Arial" w:eastAsia="Arial" w:hAnsi="Arial"/>
                <w:b/>
                <w:bCs/>
                <w:sz w:val="20"/>
                <w:szCs w:val="20"/>
              </w:rPr>
              <w:t xml:space="preserve">Analysis Method</w:t>
            </w:r>
          </w:p>
        </w:tc>
        <w:tc>
          <w:tcPr>
            <w:tcW w:type="dxa" w:w="6360"/>
            <w:tcBorders>
              <w:top w:val="single" w:color="CCCCCC" w:sz="1"/>
              <w:left w:val="single" w:color="CCCCCC" w:sz="1"/>
              <w:bottom w:val="single" w:color="CCCCCC" w:sz="1"/>
              <w:right w:val="single" w:color="CCCCCC" w:sz="1"/>
            </w:tcBorders>
            <w:shd w:fill="F4ECF7" w:val="clear"/>
            <w:tcMar>
              <w:top w:type="dxa" w:w="80"/>
              <w:left w:type="dxa" w:w="160"/>
              <w:bottom w:type="dxa" w:w="80"/>
              <w:right w:type="dxa" w:w="160"/>
            </w:tcMar>
          </w:tcPr>
          <w:p>
            <w:r>
              <w:rPr>
                <w:rFonts w:ascii="Arial" w:cs="Arial" w:eastAsia="Arial" w:hAnsi="Arial"/>
                <w:sz w:val="20"/>
                <w:szCs w:val="20"/>
              </w:rPr>
              <w:t xml:space="preserve">Programmatic parsing of ZIP/JSON structure using Python and Bash scripts executed in a secure Linux sandbox</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sz w:val="20"/>
                <w:szCs w:val="20"/>
              </w:rPr>
              <w:t xml:space="preserve">Report Generation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JavaScript (docx library) for structured Word document creation</w:t>
            </w:r>
          </w:p>
        </w:tc>
      </w:tr>
      <w:tr>
        <w:tc>
          <w:tcPr>
            <w:tcW w:type="dxa" w:w="3000"/>
            <w:tcBorders>
              <w:top w:val="single" w:color="CCCCCC" w:sz="1"/>
              <w:left w:val="single" w:color="CCCCCC" w:sz="1"/>
              <w:bottom w:val="single" w:color="CCCCCC" w:sz="1"/>
              <w:right w:val="single" w:color="CCCCCC" w:sz="1"/>
            </w:tcBorders>
            <w:shd w:fill="F4ECF7" w:val="clear"/>
            <w:tcMar>
              <w:top w:type="dxa" w:w="80"/>
              <w:left w:type="dxa" w:w="160"/>
              <w:bottom w:type="dxa" w:w="80"/>
              <w:right w:type="dxa" w:w="160"/>
            </w:tcMar>
          </w:tcPr>
          <w:p>
            <w:r>
              <w:rPr>
                <w:rFonts w:ascii="Arial" w:cs="Arial" w:eastAsia="Arial" w:hAnsi="Arial"/>
                <w:b/>
                <w:bCs/>
                <w:sz w:val="20"/>
                <w:szCs w:val="20"/>
              </w:rPr>
              <w:t xml:space="preserve">Human Review Required</w:t>
            </w:r>
          </w:p>
        </w:tc>
        <w:tc>
          <w:tcPr>
            <w:tcW w:type="dxa" w:w="6360"/>
            <w:tcBorders>
              <w:top w:val="single" w:color="CCCCCC" w:sz="1"/>
              <w:left w:val="single" w:color="CCCCCC" w:sz="1"/>
              <w:bottom w:val="single" w:color="CCCCCC" w:sz="1"/>
              <w:right w:val="single" w:color="CCCCCC" w:sz="1"/>
            </w:tcBorders>
            <w:shd w:fill="F4ECF7" w:val="clear"/>
            <w:tcMar>
              <w:top w:type="dxa" w:w="80"/>
              <w:left w:type="dxa" w:w="160"/>
              <w:bottom w:type="dxa" w:w="80"/>
              <w:right w:type="dxa" w:w="160"/>
            </w:tcMar>
          </w:tcPr>
          <w:p>
            <w:r>
              <w:rPr>
                <w:rFonts w:ascii="Arial" w:cs="Arial" w:eastAsia="Arial" w:hAnsi="Arial"/>
                <w:sz w:val="20"/>
                <w:szCs w:val="20"/>
              </w:rPr>
              <w:t xml:space="preserve">Yes — all AI-generated outputs should be reviewed by a subject matter expert before stakeholder distribution</w:t>
            </w:r>
          </w:p>
        </w:tc>
      </w:tr>
    </w:tbl>
    <w:p>
      <w:pPr>
        <w:spacing w:before="240"/>
      </w:pPr>
    </w:p>
    <w:p>
      <w:pPr>
        <w:pBdr>
          <w:bottom w:val="single" w:color="DDDDDD" w:sz="4"/>
        </w:pBdr>
        <w:spacing w:before="360" w:after="80"/>
        <w:jc w:val="center"/>
      </w:pPr>
      <w:r>
        <w:rPr>
          <w:rFonts w:ascii="Arial" w:cs="Arial" w:eastAsia="Arial" w:hAnsi="Arial"/>
          <w:i/>
          <w:iCs/>
          <w:color w:val="888888"/>
          <w:sz w:val="18"/>
          <w:szCs w:val="18"/>
        </w:rPr>
        <w:t xml:space="preserve">This AI methodology document was generated as part of the SolarSense Stakeholder Intelligence Report package.</w:t>
      </w:r>
    </w:p>
    <w:p>
      <w:pPr>
        <w:spacing w:before="80"/>
        <w:jc w:val="center"/>
      </w:pPr>
      <w:r>
        <w:rPr>
          <w:rFonts w:ascii="Arial" w:cs="Arial" w:eastAsia="Arial" w:hAnsi="Arial"/>
          <w:color w:val="AAAAAA"/>
          <w:sz w:val="16"/>
          <w:szCs w:val="16"/>
        </w:rPr>
        <w:t xml:space="preserve">For questions about AI methodology, contact your analytics team. | February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360" w:after="120"/>
      <w:outlineLvl w:val="0"/>
    </w:pPr>
    <w:rPr>
      <w:rFonts w:ascii="Arial" w:cs="Arial" w:eastAsia="Arial" w:hAnsi="Arial"/>
      <w:b/>
      <w:bCs/>
      <w:color w:val="5B2C8D"/>
      <w:sz w:val="32"/>
      <w:szCs w:val="32"/>
    </w:rPr>
  </w:style>
  <w:style w:type="paragraph" w:styleId="Heading2">
    <w:name w:val="Heading 2"/>
    <w:basedOn w:val="Normal"/>
    <w:next w:val="Normal"/>
    <w:pPr>
      <w:spacing w:before="240" w:after="100"/>
      <w:outlineLvl w:val="1"/>
    </w:pPr>
    <w:rPr>
      <w:rFonts w:ascii="Arial" w:cs="Arial" w:eastAsia="Arial" w:hAnsi="Arial"/>
      <w:b/>
      <w:bCs/>
      <w:color w:val="5B2C8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2026-02-24T20:41:22.925Z</dcterms:created>
  <dcterms:modified xsi:type="dcterms:W3CDTF">2026-02-24T20:41:22.926Z</dcterms:modified>
</cp:coreProperties>
</file>

<file path=docProps/custom.xml><?xml version="1.0" encoding="utf-8"?>
<Properties xmlns="http://schemas.openxmlformats.org/officeDocument/2006/custom-properties" xmlns:vt="http://schemas.openxmlformats.org/officeDocument/2006/docPropsVTypes"/>
</file>