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4F72" w:val="clear"/>
        <w:spacing w:before="480" w:after="120"/>
        <w:jc w:val="center"/>
      </w:pPr>
      <w:r>
        <w:rPr>
          <w:rFonts w:ascii="Arial" w:cs="Arial" w:eastAsia="Arial" w:hAnsi="Arial"/>
          <w:b/>
          <w:bCs/>
          <w:color w:val="FFFFFF"/>
          <w:sz w:val="52"/>
          <w:szCs w:val="52"/>
        </w:rPr>
        <w:t xml:space="preserve">SOLARSENSE AI DASHBOARD</w:t>
      </w:r>
    </w:p>
    <w:p>
      <w:pPr>
        <w:shd w:fill="1B4F72" w:val="clear"/>
        <w:spacing w:before="0" w:after="80"/>
        <w:jc w:val="center"/>
      </w:pPr>
      <w:r>
        <w:rPr>
          <w:rFonts w:ascii="Arial" w:cs="Arial" w:eastAsia="Arial" w:hAnsi="Arial"/>
          <w:i/>
          <w:iCs/>
          <w:color w:val="DDDDDD"/>
          <w:sz w:val="32"/>
          <w:szCs w:val="32"/>
        </w:rPr>
        <w:t xml:space="preserve">Stakeholder Intelligence Report</w:t>
      </w:r>
    </w:p>
    <w:p>
      <w:pPr>
        <w:shd w:fill="1B4F72" w:val="clear"/>
        <w:spacing w:before="0" w:after="480"/>
        <w:jc w:val="center"/>
      </w:pPr>
      <w:r>
        <w:rPr>
          <w:rFonts w:ascii="Arial" w:cs="Arial" w:eastAsia="Arial" w:hAnsi="Arial"/>
          <w:color w:val="AAAAAA"/>
          <w:sz w:val="22"/>
          <w:szCs w:val="22"/>
        </w:rPr>
        <w:t xml:space="preserve">Sub-Saharan Africa Solar Energy Opportunity | February 2026</w:t>
      </w:r>
    </w:p>
    <w:p>
      <w:pPr>
        <w:pBdr>
          <w:bottom w:val="single" w:color="DDDDDD" w:sz="4"/>
        </w:pBdr>
        <w:spacing w:before="160" w:after="160"/>
      </w:pPr>
    </w:p>
    <w:p>
      <w:pPr>
        <w:pStyle w:val="Heading1"/>
        <w:pBdr>
          <w:bottom w:val="single" w:color="1B4F72" w:sz="8" w:space="6"/>
        </w:pBdr>
        <w:spacing w:before="360" w:after="120"/>
      </w:pPr>
      <w:r>
        <w:rPr>
          <w:rFonts w:ascii="Arial" w:cs="Arial" w:eastAsia="Arial" w:hAnsi="Arial"/>
          <w:b/>
          <w:bCs/>
          <w:color w:val="1B4F72"/>
          <w:sz w:val="32"/>
          <w:szCs w:val="32"/>
        </w:rPr>
        <w:t xml:space="preserve">1. KEY FINDINGS</w:t>
      </w:r>
    </w:p>
    <w:p>
      <w:pPr>
        <w:spacing w:before="80" w:after="100"/>
      </w:pPr>
      <w:r>
        <w:rPr>
          <w:rFonts w:ascii="Arial" w:cs="Arial" w:eastAsia="Arial" w:hAnsi="Arial"/>
          <w:sz w:val="22"/>
          <w:szCs w:val="22"/>
        </w:rPr>
        <w:t xml:space="preserve">The SolarSense AI Dashboard synthesises data from the World Bank Enterprise Surveys, ESMAP SDG7 Tracking 2025, WHO, and the Global Solar Atlas to map the energy access crisis and solar opportunity across Sub-Saharan Africa (SSA). The findings below represent the dashboard's core data narrative across its five analytical pages.</w:t>
      </w:r>
    </w:p>
    <w:p>
      <w:pPr>
        <w:pStyle w:val="Heading2"/>
        <w:spacing w:before="240" w:after="100"/>
      </w:pPr>
      <w:r>
        <w:rPr>
          <w:rFonts w:ascii="Arial" w:cs="Arial" w:eastAsia="Arial" w:hAnsi="Arial"/>
          <w:b/>
          <w:bCs/>
          <w:color w:val="1B4F72"/>
          <w:sz w:val="26"/>
          <w:szCs w:val="26"/>
        </w:rPr>
        <w:t xml:space="preserve">1.1  The Energy Access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760"/>
      </w:tblGrid>
      <w:tr>
        <w:tc>
          <w:tcPr>
            <w:tcW w:type="dxa" w:w="2200"/>
            <w:tcBorders>
              <w:top w:val="single" w:color="CCCCCC" w:sz="1"/>
              <w:left w:val="single" w:color="CCCCCC" w:sz="1"/>
              <w:bottom w:val="single" w:color="CCCCCC" w:sz="1"/>
              <w:right w:val="single" w:color="CCCCCC" w:sz="1"/>
            </w:tcBorders>
            <w:shd w:fill="EBF5FB" w:val="clear"/>
            <w:tcMar>
              <w:top w:type="dxa" w:w="150"/>
              <w:left w:type="dxa" w:w="200"/>
              <w:bottom w:type="dxa" w:w="150"/>
              <w:right w:type="dxa" w:w="200"/>
            </w:tcMar>
          </w:tcPr>
          <w:p>
            <w:pPr>
              <w:jc w:val="center"/>
            </w:pPr>
            <w:r>
              <w:rPr>
                <w:rFonts w:ascii="Arial" w:cs="Arial" w:eastAsia="Arial" w:hAnsi="Arial"/>
                <w:b/>
                <w:bCs/>
                <w:color w:val="1B4F72"/>
                <w:sz w:val="48"/>
                <w:szCs w:val="48"/>
              </w:rPr>
              <w:t xml:space="preserve">80M+</w:t>
            </w:r>
          </w:p>
          <w:p>
            <w:pPr>
              <w:spacing w:before="40"/>
              <w:jc w:val="center"/>
            </w:pPr>
            <w:r>
              <w:rPr>
                <w:rFonts w:ascii="Arial" w:cs="Arial" w:eastAsia="Arial" w:hAnsi="Arial"/>
                <w:b/>
                <w:bCs/>
                <w:color w:val="444444"/>
                <w:sz w:val="18"/>
                <w:szCs w:val="18"/>
              </w:rPr>
              <w:t xml:space="preserve">Nigerians Without Electricity</w:t>
            </w:r>
          </w:p>
          <w:p>
            <w:pPr>
              <w:jc w:val="center"/>
            </w:pPr>
            <w:r>
              <w:rPr>
                <w:rFonts w:ascii="Arial" w:cs="Arial" w:eastAsia="Arial" w:hAnsi="Arial"/>
                <w:color w:val="777777"/>
                <w:sz w:val="16"/>
                <w:szCs w:val="16"/>
              </w:rPr>
              <w:t xml:space="preserve">Largest deficit globally</w:t>
            </w:r>
          </w:p>
        </w:tc>
        <w:tc>
          <w:tcPr>
            <w:tcW w:type="dxa" w:w="2200"/>
            <w:tcBorders>
              <w:top w:val="single" w:color="CCCCCC" w:sz="1"/>
              <w:left w:val="single" w:color="CCCCCC" w:sz="1"/>
              <w:bottom w:val="single" w:color="CCCCCC" w:sz="1"/>
              <w:right w:val="single" w:color="CCCCCC" w:sz="1"/>
            </w:tcBorders>
            <w:shd w:fill="EBF5FB" w:val="clear"/>
            <w:tcMar>
              <w:top w:type="dxa" w:w="150"/>
              <w:left w:type="dxa" w:w="200"/>
              <w:bottom w:type="dxa" w:w="150"/>
              <w:right w:type="dxa" w:w="200"/>
            </w:tcMar>
          </w:tcPr>
          <w:p>
            <w:pPr>
              <w:jc w:val="center"/>
            </w:pPr>
            <w:r>
              <w:rPr>
                <w:rFonts w:ascii="Arial" w:cs="Arial" w:eastAsia="Arial" w:hAnsi="Arial"/>
                <w:b/>
                <w:bCs/>
                <w:color w:val="1B4F72"/>
                <w:sz w:val="48"/>
                <w:szCs w:val="48"/>
              </w:rPr>
              <w:t xml:space="preserve">92%</w:t>
            </w:r>
          </w:p>
          <w:p>
            <w:pPr>
              <w:spacing w:before="40"/>
              <w:jc w:val="center"/>
            </w:pPr>
            <w:r>
              <w:rPr>
                <w:rFonts w:ascii="Arial" w:cs="Arial" w:eastAsia="Arial" w:hAnsi="Arial"/>
                <w:b/>
                <w:bCs/>
                <w:color w:val="444444"/>
                <w:sz w:val="18"/>
                <w:szCs w:val="18"/>
              </w:rPr>
              <w:t xml:space="preserve">SA Firms Experiencing Outages</w:t>
            </w:r>
          </w:p>
          <w:p>
            <w:pPr>
              <w:jc w:val="center"/>
            </w:pPr>
            <w:r>
              <w:rPr>
                <w:rFonts w:ascii="Arial" w:cs="Arial" w:eastAsia="Arial" w:hAnsi="Arial"/>
                <w:color w:val="777777"/>
                <w:sz w:val="16"/>
                <w:szCs w:val="16"/>
              </w:rPr>
              <w:t xml:space="preserve">Peak load-shedding (2020)</w:t>
            </w:r>
          </w:p>
        </w:tc>
        <w:tc>
          <w:tcPr>
            <w:tcW w:type="dxa" w:w="2200"/>
            <w:tcBorders>
              <w:top w:val="single" w:color="CCCCCC" w:sz="1"/>
              <w:left w:val="single" w:color="CCCCCC" w:sz="1"/>
              <w:bottom w:val="single" w:color="CCCCCC" w:sz="1"/>
              <w:right w:val="single" w:color="CCCCCC" w:sz="1"/>
            </w:tcBorders>
            <w:shd w:fill="EBF5FB" w:val="clear"/>
            <w:tcMar>
              <w:top w:type="dxa" w:w="150"/>
              <w:left w:type="dxa" w:w="200"/>
              <w:bottom w:type="dxa" w:w="150"/>
              <w:right w:type="dxa" w:w="200"/>
            </w:tcMar>
          </w:tcPr>
          <w:p>
            <w:pPr>
              <w:jc w:val="center"/>
            </w:pPr>
            <w:r>
              <w:rPr>
                <w:rFonts w:ascii="Arial" w:cs="Arial" w:eastAsia="Arial" w:hAnsi="Arial"/>
                <w:b/>
                <w:bCs/>
                <w:color w:val="1B4F72"/>
                <w:sz w:val="48"/>
                <w:szCs w:val="48"/>
              </w:rPr>
              <w:t xml:space="preserve">96%</w:t>
            </w:r>
          </w:p>
          <w:p>
            <w:pPr>
              <w:spacing w:before="40"/>
              <w:jc w:val="center"/>
            </w:pPr>
            <w:r>
              <w:rPr>
                <w:rFonts w:ascii="Arial" w:cs="Arial" w:eastAsia="Arial" w:hAnsi="Arial"/>
                <w:b/>
                <w:bCs/>
                <w:color w:val="444444"/>
                <w:sz w:val="18"/>
                <w:szCs w:val="18"/>
              </w:rPr>
              <w:t xml:space="preserve">Chadian Firms Hit by Outages</w:t>
            </w:r>
          </w:p>
          <w:p>
            <w:pPr>
              <w:jc w:val="center"/>
            </w:pPr>
            <w:r>
              <w:rPr>
                <w:rFonts w:ascii="Arial" w:cs="Arial" w:eastAsia="Arial" w:hAnsi="Arial"/>
                <w:color w:val="777777"/>
                <w:sz w:val="16"/>
                <w:szCs w:val="16"/>
              </w:rPr>
              <w:t xml:space="preserve">Highest rate in SSA</w:t>
            </w:r>
          </w:p>
        </w:tc>
        <w:tc>
          <w:tcPr>
            <w:tcW w:type="dxa" w:w="2200"/>
            <w:tcBorders>
              <w:top w:val="single" w:color="CCCCCC" w:sz="1"/>
              <w:left w:val="single" w:color="CCCCCC" w:sz="1"/>
              <w:bottom w:val="single" w:color="CCCCCC" w:sz="1"/>
              <w:right w:val="single" w:color="CCCCCC" w:sz="1"/>
            </w:tcBorders>
            <w:shd w:fill="EBF5FB" w:val="clear"/>
            <w:tcMar>
              <w:top w:type="dxa" w:w="150"/>
              <w:left w:type="dxa" w:w="200"/>
              <w:bottom w:type="dxa" w:w="150"/>
              <w:right w:type="dxa" w:w="200"/>
            </w:tcMar>
          </w:tcPr>
          <w:p>
            <w:pPr>
              <w:jc w:val="center"/>
            </w:pPr>
            <w:r>
              <w:rPr>
                <w:rFonts w:ascii="Arial" w:cs="Arial" w:eastAsia="Arial" w:hAnsi="Arial"/>
                <w:b/>
                <w:bCs/>
                <w:color w:val="1B4F72"/>
                <w:sz w:val="48"/>
                <w:szCs w:val="48"/>
              </w:rPr>
              <w:t xml:space="preserve">40%</w:t>
            </w:r>
          </w:p>
          <w:p>
            <w:pPr>
              <w:spacing w:before="40"/>
              <w:jc w:val="center"/>
            </w:pPr>
            <w:r>
              <w:rPr>
                <w:rFonts w:ascii="Arial" w:cs="Arial" w:eastAsia="Arial" w:hAnsi="Arial"/>
                <w:b/>
                <w:bCs/>
                <w:color w:val="444444"/>
                <w:sz w:val="18"/>
                <w:szCs w:val="18"/>
              </w:rPr>
              <w:t xml:space="preserve">SSA Firms: Electricity #1 Constraint</w:t>
            </w:r>
          </w:p>
          <w:p>
            <w:pPr>
              <w:jc w:val="center"/>
            </w:pPr>
            <w:r>
              <w:rPr>
                <w:rFonts w:ascii="Arial" w:cs="Arial" w:eastAsia="Arial" w:hAnsi="Arial"/>
                <w:color w:val="777777"/>
                <w:sz w:val="16"/>
                <w:szCs w:val="16"/>
              </w:rPr>
              <w:t xml:space="preserve">World Bank ES 2023</w:t>
            </w:r>
          </w:p>
        </w:tc>
        <w:tc>
          <w:tcPr>
            <w:tcW w:type="dxa" w:w="760"/>
            <w:tcBorders>
              <w:top w:val="none" w:color="FFFFFF" w:sz="0"/>
              <w:left w:val="none" w:color="FFFFFF" w:sz="0"/>
              <w:bottom w:val="none" w:color="FFFFFF" w:sz="0"/>
              <w:right w:val="none" w:color="FFFFFF" w:sz="0"/>
            </w:tcBorders>
          </w:tcPr>
          <w:p/>
        </w:tc>
      </w:tr>
    </w:tbl>
    <w:p>
      <w:pPr>
        <w:spacing w:before="120" w:after="80"/>
      </w:pPr>
    </w:p>
    <w:p>
      <w:pPr>
        <w:pStyle w:val="ListParagraph"/>
        <w:numPr>
          <w:ilvl w:val="0"/>
          <w:numId w:val="2"/>
        </w:numPr>
        <w:spacing w:before="60" w:after="60"/>
      </w:pPr>
      <w:r>
        <w:rPr>
          <w:rFonts w:ascii="Arial" w:cs="Arial" w:eastAsia="Arial" w:hAnsi="Arial"/>
          <w:b/>
          <w:bCs/>
          <w:sz w:val="22"/>
          <w:szCs w:val="22"/>
        </w:rPr>
        <w:t xml:space="preserve">Nigeria</w:t>
      </w:r>
      <w:r>
        <w:rPr>
          <w:rFonts w:ascii="Arial" w:cs="Arial" w:eastAsia="Arial" w:hAnsi="Arial"/>
          <w:sz w:val="22"/>
          <w:szCs w:val="22"/>
        </w:rPr>
        <w:t xml:space="preserve"> carries the largest single-country electricity access deficit globally, with </w:t>
      </w:r>
      <w:r>
        <w:rPr>
          <w:rFonts w:ascii="Arial" w:cs="Arial" w:eastAsia="Arial" w:hAnsi="Arial"/>
          <w:b/>
          <w:bCs/>
          <w:color w:val="1B4F72"/>
          <w:sz w:val="22"/>
          <w:szCs w:val="22"/>
        </w:rPr>
        <w:t xml:space="preserve">over 80 million people</w:t>
      </w:r>
      <w:r>
        <w:rPr>
          <w:rFonts w:ascii="Arial" w:cs="Arial" w:eastAsia="Arial" w:hAnsi="Arial"/>
          <w:sz w:val="22"/>
          <w:szCs w:val="22"/>
        </w:rPr>
        <w:t xml:space="preserve"> lacking access to grid power (ESMAP SDG7 Tracking 2025).</w:t>
      </w:r>
    </w:p>
    <w:p>
      <w:pPr>
        <w:pStyle w:val="ListParagraph"/>
        <w:numPr>
          <w:ilvl w:val="0"/>
          <w:numId w:val="2"/>
        </w:numPr>
        <w:spacing w:before="60" w:after="60"/>
      </w:pPr>
      <w:r>
        <w:rPr>
          <w:rFonts w:ascii="Arial" w:cs="Arial" w:eastAsia="Arial" w:hAnsi="Arial"/>
          <w:b/>
          <w:bCs/>
          <w:color w:val="1B4F72"/>
          <w:sz w:val="22"/>
          <w:szCs w:val="22"/>
        </w:rPr>
        <w:t xml:space="preserve">92%</w:t>
      </w:r>
      <w:r>
        <w:rPr>
          <w:rFonts w:ascii="Arial" w:cs="Arial" w:eastAsia="Arial" w:hAnsi="Arial"/>
          <w:sz w:val="22"/>
          <w:szCs w:val="22"/>
        </w:rPr>
        <w:t xml:space="preserve"> of South African firms reported power outages during the Eskom load-shedding peak (World Bank Enterprise Survey, 2020), while </w:t>
      </w:r>
      <w:r>
        <w:rPr>
          <w:rFonts w:ascii="Arial" w:cs="Arial" w:eastAsia="Arial" w:hAnsi="Arial"/>
          <w:b/>
          <w:bCs/>
          <w:color w:val="1B4F72"/>
          <w:sz w:val="22"/>
          <w:szCs w:val="22"/>
        </w:rPr>
        <w:t xml:space="preserve">96%</w:t>
      </w:r>
      <w:r>
        <w:rPr>
          <w:rFonts w:ascii="Arial" w:cs="Arial" w:eastAsia="Arial" w:hAnsi="Arial"/>
          <w:sz w:val="22"/>
          <w:szCs w:val="22"/>
        </w:rPr>
        <w:t xml:space="preserve"> of Chadian firms experienced outages — the highest rate of any SSA country surveyed (World Bank ES, 2023).</w:t>
      </w:r>
    </w:p>
    <w:p>
      <w:pPr>
        <w:pStyle w:val="ListParagraph"/>
        <w:numPr>
          <w:ilvl w:val="0"/>
          <w:numId w:val="2"/>
        </w:numPr>
        <w:spacing w:before="60" w:after="60"/>
      </w:pPr>
      <w:r>
        <w:rPr>
          <w:rFonts w:ascii="Arial" w:cs="Arial" w:eastAsia="Arial" w:hAnsi="Arial"/>
          <w:b/>
          <w:bCs/>
          <w:sz w:val="22"/>
          <w:szCs w:val="22"/>
        </w:rPr>
        <w:t xml:space="preserve">40%</w:t>
      </w:r>
      <w:r>
        <w:rPr>
          <w:rFonts w:ascii="Arial" w:cs="Arial" w:eastAsia="Arial" w:hAnsi="Arial"/>
          <w:sz w:val="22"/>
          <w:szCs w:val="22"/>
        </w:rPr>
        <w:t xml:space="preserve"> of SSA firms identify electricity as their single greatest operational constraint, ahead of access to finance and skilled labour (World Bank Enterprise Surveys, 2023).</w:t>
      </w:r>
    </w:p>
    <w:p>
      <w:pPr>
        <w:pStyle w:val="ListParagraph"/>
        <w:numPr>
          <w:ilvl w:val="0"/>
          <w:numId w:val="2"/>
        </w:numPr>
        <w:spacing w:before="60" w:after="60"/>
      </w:pPr>
      <w:r>
        <w:rPr>
          <w:rFonts w:ascii="Arial" w:cs="Arial" w:eastAsia="Arial" w:hAnsi="Arial"/>
          <w:b/>
          <w:bCs/>
          <w:color w:val="E67E22"/>
          <w:sz w:val="22"/>
          <w:szCs w:val="22"/>
        </w:rPr>
        <w:t xml:space="preserve">28–34%</w:t>
      </w:r>
      <w:r>
        <w:rPr>
          <w:rFonts w:ascii="Arial" w:cs="Arial" w:eastAsia="Arial" w:hAnsi="Arial"/>
          <w:sz w:val="22"/>
          <w:szCs w:val="22"/>
        </w:rPr>
        <w:t xml:space="preserve"> of SSA health facilities have reliable power, directly threatening vaccine cold chains and essential medical services (WHO, 2023).</w:t>
      </w:r>
    </w:p>
    <w:p>
      <w:pPr>
        <w:pStyle w:val="ListParagraph"/>
        <w:numPr>
          <w:ilvl w:val="0"/>
          <w:numId w:val="2"/>
        </w:numPr>
        <w:spacing w:before="60" w:after="60"/>
      </w:pPr>
      <w:r>
        <w:rPr>
          <w:rFonts w:ascii="Arial" w:cs="Arial" w:eastAsia="Arial" w:hAnsi="Arial"/>
          <w:b/>
          <w:bCs/>
          <w:color w:val="E67E22"/>
          <w:sz w:val="22"/>
          <w:szCs w:val="22"/>
        </w:rPr>
        <w:t xml:space="preserve">$4B+</w:t>
      </w:r>
      <w:r>
        <w:rPr>
          <w:rFonts w:ascii="Arial" w:cs="Arial" w:eastAsia="Arial" w:hAnsi="Arial"/>
          <w:sz w:val="22"/>
          <w:szCs w:val="22"/>
        </w:rPr>
        <w:t xml:space="preserve"> in annual post-harvest monetary losses are attributed to cold chain failure across SSA, a consequence of unreliable energy infrastructure.</w:t>
      </w:r>
    </w:p>
    <w:p>
      <w:pPr>
        <w:pStyle w:val="Heading2"/>
        <w:spacing w:before="240" w:after="100"/>
      </w:pPr>
      <w:r>
        <w:rPr>
          <w:rFonts w:ascii="Arial" w:cs="Arial" w:eastAsia="Arial" w:hAnsi="Arial"/>
          <w:b/>
          <w:bCs/>
          <w:color w:val="1B4F72"/>
          <w:sz w:val="26"/>
          <w:szCs w:val="26"/>
        </w:rPr>
        <w:t xml:space="preserve">1.2  The Opportunity: Solar Viability Indicators</w:t>
      </w:r>
    </w:p>
    <w:p>
      <w:pPr>
        <w:spacing w:before="80" w:after="100"/>
      </w:pPr>
      <w:r>
        <w:rPr>
          <w:rFonts w:ascii="Arial" w:cs="Arial" w:eastAsia="Arial" w:hAnsi="Arial"/>
          <w:sz w:val="22"/>
          <w:szCs w:val="22"/>
        </w:rPr>
        <w:t xml:space="preserve">The dashboard's </w:t>
      </w:r>
      <w:r>
        <w:rPr>
          <w:rFonts w:ascii="Arial" w:cs="Arial" w:eastAsia="Arial" w:hAnsi="Arial"/>
          <w:b/>
          <w:bCs/>
          <w:sz w:val="22"/>
          <w:szCs w:val="22"/>
        </w:rPr>
        <w:t xml:space="preserve">Solar Viability</w:t>
      </w:r>
      <w:r>
        <w:rPr>
          <w:rFonts w:ascii="Arial" w:cs="Arial" w:eastAsia="Arial" w:hAnsi="Arial"/>
          <w:sz w:val="22"/>
          <w:szCs w:val="22"/>
        </w:rPr>
        <w:t xml:space="preserve"> pages evaluate renewable energy share, kWh per capita consumption, generator dependency, and solar irradiance potential across SSA countries.</w:t>
      </w:r>
    </w:p>
    <w:p>
      <w:pPr>
        <w:pStyle w:val="ListParagraph"/>
        <w:numPr>
          <w:ilvl w:val="0"/>
          <w:numId w:val="2"/>
        </w:numPr>
        <w:spacing w:before="60" w:after="60"/>
      </w:pPr>
      <w:r>
        <w:rPr>
          <w:rFonts w:ascii="Arial" w:cs="Arial" w:eastAsia="Arial" w:hAnsi="Arial"/>
          <w:b/>
          <w:bCs/>
          <w:sz w:val="22"/>
          <w:szCs w:val="22"/>
        </w:rPr>
        <w:t xml:space="preserve">Low renewable energy penetration</w:t>
      </w:r>
      <w:r>
        <w:rPr>
          <w:rFonts w:ascii="Arial" w:cs="Arial" w:eastAsia="Arial" w:hAnsi="Arial"/>
          <w:sz w:val="22"/>
          <w:szCs w:val="22"/>
        </w:rPr>
        <w:t xml:space="preserve"> across SSA, measured as </w:t>
      </w:r>
      <w:r>
        <w:rPr>
          <w:rFonts w:ascii="Arial" w:cs="Arial" w:eastAsia="Arial" w:hAnsi="Arial"/>
          <w:b/>
          <w:bCs/>
          <w:sz w:val="22"/>
          <w:szCs w:val="22"/>
        </w:rPr>
        <w:t xml:space="preserve">Renewable Share of Final Energy (%)</w:t>
      </w:r>
      <w:r>
        <w:rPr>
          <w:rFonts w:ascii="Arial" w:cs="Arial" w:eastAsia="Arial" w:hAnsi="Arial"/>
          <w:sz w:val="22"/>
          <w:szCs w:val="22"/>
        </w:rPr>
        <w:t xml:space="preserve">, reveals substantial headroom for solar adoption. The </w:t>
      </w:r>
      <w:r>
        <w:rPr>
          <w:rFonts w:ascii="Arial" w:cs="Arial" w:eastAsia="Arial" w:hAnsi="Arial"/>
          <w:b/>
          <w:bCs/>
          <w:sz w:val="22"/>
          <w:szCs w:val="22"/>
        </w:rPr>
        <w:t xml:space="preserve">Solar Growth Room</w:t>
      </w:r>
      <w:r>
        <w:rPr>
          <w:rFonts w:ascii="Arial" w:cs="Arial" w:eastAsia="Arial" w:hAnsi="Arial"/>
          <w:sz w:val="22"/>
          <w:szCs w:val="22"/>
        </w:rPr>
        <w:t xml:space="preserve"> metric — a calculated field within the dashboard — quantifies unused solar capacity at the country level.</w:t>
      </w:r>
    </w:p>
    <w:p>
      <w:pPr>
        <w:pStyle w:val="ListParagraph"/>
        <w:numPr>
          <w:ilvl w:val="0"/>
          <w:numId w:val="2"/>
        </w:numPr>
        <w:spacing w:before="60" w:after="60"/>
      </w:pPr>
      <w:r>
        <w:rPr>
          <w:rFonts w:ascii="Arial" w:cs="Arial" w:eastAsia="Arial" w:hAnsi="Arial"/>
          <w:b/>
          <w:bCs/>
          <w:sz w:val="22"/>
          <w:szCs w:val="22"/>
        </w:rPr>
        <w:t xml:space="preserve">kWh per capita</w:t>
      </w:r>
      <w:r>
        <w:rPr>
          <w:rFonts w:ascii="Arial" w:cs="Arial" w:eastAsia="Arial" w:hAnsi="Arial"/>
          <w:sz w:val="22"/>
          <w:szCs w:val="22"/>
        </w:rPr>
        <w:t xml:space="preserve"> consumption figures (sourced from World Bank EG.USE.ELEC.KH.PC) remain critically low in many SSA nations, confirming that current grid infrastructure is insufficient to support economic productivity.</w:t>
      </w:r>
    </w:p>
    <w:p>
      <w:pPr>
        <w:pStyle w:val="ListParagraph"/>
        <w:numPr>
          <w:ilvl w:val="0"/>
          <w:numId w:val="2"/>
        </w:numPr>
        <w:spacing w:before="60" w:after="60"/>
      </w:pPr>
      <w:r>
        <w:rPr>
          <w:rFonts w:ascii="Arial" w:cs="Arial" w:eastAsia="Arial" w:hAnsi="Arial"/>
          <w:b/>
          <w:bCs/>
          <w:sz w:val="22"/>
          <w:szCs w:val="22"/>
        </w:rPr>
        <w:t xml:space="preserve">Generator dependency</w:t>
      </w:r>
      <w:r>
        <w:rPr>
          <w:rFonts w:ascii="Arial" w:cs="Arial" w:eastAsia="Arial" w:hAnsi="Arial"/>
          <w:sz w:val="22"/>
          <w:szCs w:val="22"/>
        </w:rPr>
        <w:t xml:space="preserve"> is widespread: the </w:t>
      </w:r>
      <w:r>
        <w:rPr>
          <w:rFonts w:ascii="Arial" w:cs="Arial" w:eastAsia="Arial" w:hAnsi="Arial"/>
          <w:b/>
          <w:bCs/>
          <w:sz w:val="22"/>
          <w:szCs w:val="22"/>
        </w:rPr>
        <w:t xml:space="preserve">Firms With Generator (%)</w:t>
      </w:r>
      <w:r>
        <w:rPr>
          <w:rFonts w:ascii="Arial" w:cs="Arial" w:eastAsia="Arial" w:hAnsi="Arial"/>
          <w:sz w:val="22"/>
          <w:szCs w:val="22"/>
        </w:rPr>
        <w:t xml:space="preserve"> metric from the verified generator ownership dataset shows a large share of businesses have already self-funded backup power — a proven willingness to pay for reliable energy.</w:t>
      </w:r>
    </w:p>
    <w:p>
      <w:pPr>
        <w:pStyle w:val="ListParagraph"/>
        <w:numPr>
          <w:ilvl w:val="0"/>
          <w:numId w:val="2"/>
        </w:numPr>
        <w:spacing w:before="60" w:after="60"/>
      </w:pPr>
      <w:r>
        <w:rPr>
          <w:rFonts w:ascii="Arial" w:cs="Arial" w:eastAsia="Arial" w:hAnsi="Arial"/>
          <w:b/>
          <w:bCs/>
          <w:sz w:val="22"/>
          <w:szCs w:val="22"/>
        </w:rPr>
        <w:t xml:space="preserve">Solar irradiance potential</w:t>
      </w:r>
      <w:r>
        <w:rPr>
          <w:rFonts w:ascii="Arial" w:cs="Arial" w:eastAsia="Arial" w:hAnsi="Arial"/>
          <w:sz w:val="22"/>
          <w:szCs w:val="22"/>
        </w:rPr>
        <w:t xml:space="preserve"> is captured through </w:t>
      </w:r>
      <w:r>
        <w:rPr>
          <w:rFonts w:ascii="Arial" w:cs="Arial" w:eastAsia="Arial" w:hAnsi="Arial"/>
          <w:b/>
          <w:bCs/>
          <w:sz w:val="22"/>
          <w:szCs w:val="22"/>
        </w:rPr>
        <w:t xml:space="preserve">GHI (Global Horizontal Irradiance)</w:t>
      </w:r>
      <w:r>
        <w:rPr>
          <w:rFonts w:ascii="Arial" w:cs="Arial" w:eastAsia="Arial" w:hAnsi="Arial"/>
          <w:sz w:val="22"/>
          <w:szCs w:val="22"/>
        </w:rPr>
        <w:t xml:space="preserve"> and </w:t>
      </w:r>
      <w:r>
        <w:rPr>
          <w:rFonts w:ascii="Arial" w:cs="Arial" w:eastAsia="Arial" w:hAnsi="Arial"/>
          <w:b/>
          <w:bCs/>
          <w:sz w:val="22"/>
          <w:szCs w:val="22"/>
        </w:rPr>
        <w:t xml:space="preserve">DNI (Direct Normal Irradiance)</w:t>
      </w:r>
      <w:r>
        <w:rPr>
          <w:rFonts w:ascii="Arial" w:cs="Arial" w:eastAsia="Arial" w:hAnsi="Arial"/>
          <w:sz w:val="22"/>
          <w:szCs w:val="22"/>
        </w:rPr>
        <w:t xml:space="preserve"> values in kWh/m²/yr from the Global Solar Atlas. SSA countries consistently rank among the world's highest-irradiance regions, providing a strong natural foundation for solar deployment.</w:t>
      </w:r>
    </w:p>
    <w:p>
      <w:pPr>
        <w:pStyle w:val="Heading2"/>
        <w:spacing w:before="240" w:after="100"/>
      </w:pPr>
      <w:r>
        <w:rPr>
          <w:rFonts w:ascii="Arial" w:cs="Arial" w:eastAsia="Arial" w:hAnsi="Arial"/>
          <w:b/>
          <w:bCs/>
          <w:color w:val="1B4F72"/>
          <w:sz w:val="26"/>
          <w:szCs w:val="26"/>
        </w:rPr>
        <w:t xml:space="preserve">1.3  The Financial Case</w:t>
      </w:r>
    </w:p>
    <w:p>
      <w:pPr>
        <w:spacing w:before="80" w:after="100"/>
      </w:pPr>
      <w:r>
        <w:rPr>
          <w:rFonts w:ascii="Arial" w:cs="Arial" w:eastAsia="Arial" w:hAnsi="Arial"/>
          <w:sz w:val="22"/>
          <w:szCs w:val="22"/>
        </w:rPr>
        <w:t xml:space="preserve">The </w:t>
      </w:r>
      <w:r>
        <w:rPr>
          <w:rFonts w:ascii="Arial" w:cs="Arial" w:eastAsia="Arial" w:hAnsi="Arial"/>
          <w:b/>
          <w:bCs/>
          <w:sz w:val="22"/>
          <w:szCs w:val="22"/>
        </w:rPr>
        <w:t xml:space="preserve">Solar Financial Case Dashboard</w:t>
      </w:r>
      <w:r>
        <w:rPr>
          <w:rFonts w:ascii="Arial" w:cs="Arial" w:eastAsia="Arial" w:hAnsi="Arial"/>
          <w:sz w:val="22"/>
          <w:szCs w:val="22"/>
        </w:rPr>
        <w:t xml:space="preserve"> models the ROI of transitioning from diesel generator dependency to solar for SME profiles across SSA.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Financial Metric</w:t>
            </w:r>
          </w:p>
        </w:tc>
        <w:tc>
          <w:tcPr>
            <w:tcW w:type="dxa" w:w="3000"/>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Dashboard Model Variable</w:t>
            </w:r>
          </w:p>
        </w:tc>
        <w:tc>
          <w:tcPr>
            <w:tcW w:type="dxa" w:w="3360"/>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Significance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sz w:val="20"/>
                <w:szCs w:val="20"/>
              </w:rPr>
              <w:t xml:space="preserve">Solar Installation Cost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Courier New" w:cs="Courier New" w:eastAsia="Courier New" w:hAnsi="Courier New"/>
                <w:color w:val="555555"/>
                <w:sz w:val="18"/>
                <w:szCs w:val="18"/>
              </w:rPr>
              <w:t xml:space="preserve">Solar_Install_Cost_USD</w:t>
            </w:r>
          </w:p>
        </w:tc>
        <w:tc>
          <w:tcPr>
            <w:tcW w:type="dxa" w:w="33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20"/>
                <w:szCs w:val="20"/>
              </w:rPr>
              <w:t xml:space="preserve">Upfront capital required per SME profile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Annual Diesel Fuel Cost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55555"/>
                <w:sz w:val="18"/>
                <w:szCs w:val="18"/>
              </w:rPr>
              <w:t xml:space="preserve">Annual_Diesel_Fuel_USD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Ongoing diesel spend displaced by solar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sz w:val="20"/>
                <w:szCs w:val="20"/>
              </w:rPr>
              <w:t xml:space="preserve">Generator Maintenance Cost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Courier New" w:cs="Courier New" w:eastAsia="Courier New" w:hAnsi="Courier New"/>
                <w:color w:val="555555"/>
                <w:sz w:val="18"/>
                <w:szCs w:val="18"/>
              </w:rPr>
              <w:t xml:space="preserve">Annual_Gen_Maintenance_USD</w:t>
            </w:r>
          </w:p>
        </w:tc>
        <w:tc>
          <w:tcPr>
            <w:tcW w:type="dxa" w:w="33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20"/>
                <w:szCs w:val="20"/>
              </w:rPr>
              <w:t xml:space="preserve">Hidden cost removed when transitioning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Total Annual Diesel Cost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55555"/>
                <w:sz w:val="18"/>
                <w:szCs w:val="18"/>
              </w:rPr>
              <w:t xml:space="preserve">Total_Annual_Diesel_Cost_USD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Full cost of diesel dependency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sz w:val="20"/>
                <w:szCs w:val="20"/>
              </w:rPr>
              <w:t xml:space="preserve">Solar Annual OpEx</w:t>
            </w:r>
          </w:p>
        </w:tc>
        <w:tc>
          <w:tcPr>
            <w:tcW w:type="dxa" w:w="3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Courier New" w:cs="Courier New" w:eastAsia="Courier New" w:hAnsi="Courier New"/>
                <w:color w:val="555555"/>
                <w:sz w:val="18"/>
                <w:szCs w:val="18"/>
              </w:rPr>
              <w:t xml:space="preserve">Solar_Annual_OpEx_USD</w:t>
            </w:r>
          </w:p>
        </w:tc>
        <w:tc>
          <w:tcPr>
            <w:tcW w:type="dxa" w:w="33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20"/>
                <w:szCs w:val="20"/>
              </w:rPr>
              <w:t xml:space="preserve">Operational cost of the solar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Annual Savings (Solar vs Diesel)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55555"/>
                <w:sz w:val="18"/>
                <w:szCs w:val="18"/>
              </w:rPr>
              <w:t xml:space="preserve">Annual_Saving_Solar_vs_Diesel_USD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Net savings driving investment decision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sz w:val="20"/>
                <w:szCs w:val="20"/>
              </w:rPr>
              <w:t xml:space="preserve">Payback Period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Courier New" w:cs="Courier New" w:eastAsia="Courier New" w:hAnsi="Courier New"/>
                <w:color w:val="555555"/>
                <w:sz w:val="18"/>
                <w:szCs w:val="18"/>
              </w:rPr>
              <w:t xml:space="preserve">Payback_Period_Years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20"/>
                <w:szCs w:val="20"/>
              </w:rPr>
              <w:t xml:space="preserve">Time to recover solar capital outlay</w:t>
            </w:r>
          </w:p>
        </w:tc>
      </w:tr>
    </w:tbl>
    <w:p>
      <w:pPr>
        <w:spacing w:before="120"/>
      </w:pPr>
    </w:p>
    <w:p>
      <w:pPr>
        <w:pBdr>
          <w:bottom w:val="single" w:color="DDDDDD" w:sz="4"/>
        </w:pBdr>
        <w:spacing w:before="160" w:after="160"/>
      </w:pPr>
    </w:p>
    <w:p>
      <w:r>
        <w:br w:type="page"/>
      </w:r>
    </w:p>
    <w:p>
      <w:pPr>
        <w:pStyle w:val="Heading1"/>
        <w:pBdr>
          <w:bottom w:val="single" w:color="1B4F72" w:sz="8" w:space="6"/>
        </w:pBdr>
        <w:spacing w:before="360" w:after="120"/>
      </w:pPr>
      <w:r>
        <w:rPr>
          <w:rFonts w:ascii="Arial" w:cs="Arial" w:eastAsia="Arial" w:hAnsi="Arial"/>
          <w:b/>
          <w:bCs/>
          <w:color w:val="1B4F72"/>
          <w:sz w:val="32"/>
          <w:szCs w:val="32"/>
        </w:rPr>
        <w:t xml:space="preserve">2. INSIGHTS</w:t>
      </w:r>
    </w:p>
    <w:p>
      <w:pPr>
        <w:spacing w:before="80" w:after="100"/>
      </w:pPr>
      <w:r>
        <w:rPr>
          <w:rFonts w:ascii="Arial" w:cs="Arial" w:eastAsia="Arial" w:hAnsi="Arial"/>
          <w:sz w:val="22"/>
          <w:szCs w:val="22"/>
        </w:rPr>
        <w:t xml:space="preserve">Drawing on the cross-page analytical structure of SolarSense, the following insights connect data patterns to commercial and policy implications.</w:t>
      </w:r>
    </w:p>
    <w:p>
      <w:pPr>
        <w:pStyle w:val="Heading2"/>
        <w:spacing w:before="240" w:after="100"/>
      </w:pPr>
      <w:r>
        <w:rPr>
          <w:rFonts w:ascii="Arial" w:cs="Arial" w:eastAsia="Arial" w:hAnsi="Arial"/>
          <w:b/>
          <w:bCs/>
          <w:color w:val="1B4F72"/>
          <w:sz w:val="26"/>
          <w:szCs w:val="26"/>
        </w:rPr>
        <w:t xml:space="preserve">2.1  Nigeria Is the Biggest Single Opportunity</w:t>
      </w:r>
    </w:p>
    <w:p>
      <w:pPr>
        <w:pStyle w:val="ListParagraph"/>
        <w:numPr>
          <w:ilvl w:val="0"/>
          <w:numId w:val="2"/>
        </w:numPr>
        <w:spacing w:before="60" w:after="60"/>
      </w:pPr>
      <w:r>
        <w:rPr>
          <w:rFonts w:ascii="Arial" w:cs="Arial" w:eastAsia="Arial" w:hAnsi="Arial"/>
          <w:b/>
          <w:bCs/>
          <w:color w:val="1B4F72"/>
          <w:sz w:val="22"/>
          <w:szCs w:val="22"/>
        </w:rPr>
        <w:t xml:space="preserve">80 million+</w:t>
      </w:r>
      <w:r>
        <w:rPr>
          <w:rFonts w:ascii="Arial" w:cs="Arial" w:eastAsia="Arial" w:hAnsi="Arial"/>
          <w:sz w:val="22"/>
          <w:szCs w:val="22"/>
        </w:rPr>
        <w:t xml:space="preserve"> Nigerians without electricity represents both the largest humanitarian gap and the largest addressable market in the region. At even modest solar penetration rates, the commercial opportunity is enormous.</w:t>
      </w:r>
    </w:p>
    <w:p>
      <w:pPr>
        <w:pStyle w:val="ListParagraph"/>
        <w:numPr>
          <w:ilvl w:val="0"/>
          <w:numId w:val="2"/>
        </w:numPr>
        <w:spacing w:before="60" w:after="60"/>
      </w:pPr>
      <w:r>
        <w:rPr>
          <w:rFonts w:ascii="Arial" w:cs="Arial" w:eastAsia="Arial" w:hAnsi="Arial"/>
          <w:sz w:val="22"/>
          <w:szCs w:val="22"/>
        </w:rPr>
        <w:t xml:space="preserve">Nigeria's combination of high population density, documented outage frequency, and strong SME presence makes it the highest-priority country for SolarSense market entry and partnership development.</w:t>
      </w:r>
    </w:p>
    <w:p>
      <w:pPr>
        <w:pStyle w:val="Heading2"/>
        <w:spacing w:before="240" w:after="100"/>
      </w:pPr>
      <w:r>
        <w:rPr>
          <w:rFonts w:ascii="Arial" w:cs="Arial" w:eastAsia="Arial" w:hAnsi="Arial"/>
          <w:b/>
          <w:bCs/>
          <w:color w:val="1B4F72"/>
          <w:sz w:val="26"/>
          <w:szCs w:val="26"/>
        </w:rPr>
        <w:t xml:space="preserve">2.2  Businesses Are Already Paying — Just for an Inferior Product</w:t>
      </w:r>
    </w:p>
    <w:p>
      <w:pPr>
        <w:pStyle w:val="ListParagraph"/>
        <w:numPr>
          <w:ilvl w:val="0"/>
          <w:numId w:val="2"/>
        </w:numPr>
        <w:spacing w:before="60" w:after="60"/>
      </w:pPr>
      <w:r>
        <w:rPr>
          <w:rFonts w:ascii="Arial" w:cs="Arial" w:eastAsia="Arial" w:hAnsi="Arial"/>
          <w:sz w:val="22"/>
          <w:szCs w:val="22"/>
        </w:rPr>
        <w:t xml:space="preserve">The </w:t>
      </w:r>
      <w:r>
        <w:rPr>
          <w:rFonts w:ascii="Arial" w:cs="Arial" w:eastAsia="Arial" w:hAnsi="Arial"/>
          <w:b/>
          <w:bCs/>
          <w:sz w:val="22"/>
          <w:szCs w:val="22"/>
        </w:rPr>
        <w:t xml:space="preserve">generator ownership data</w:t>
      </w:r>
      <w:r>
        <w:rPr>
          <w:rFonts w:ascii="Arial" w:cs="Arial" w:eastAsia="Arial" w:hAnsi="Arial"/>
          <w:sz w:val="22"/>
          <w:szCs w:val="22"/>
        </w:rPr>
        <w:t xml:space="preserve"> reveals that a majority of SSA firms have already made capital investments in backup power. These firms are paying diesel costs (</w:t>
      </w:r>
      <w:r>
        <w:rPr>
          <w:rFonts w:ascii="Arial" w:cs="Arial" w:eastAsia="Arial" w:hAnsi="Arial"/>
          <w:b/>
          <w:bCs/>
          <w:sz w:val="22"/>
          <w:szCs w:val="22"/>
        </w:rPr>
        <w:t xml:space="preserve">Annual_Diesel_Fuel_USD</w:t>
      </w:r>
      <w:r>
        <w:rPr>
          <w:rFonts w:ascii="Arial" w:cs="Arial" w:eastAsia="Arial" w:hAnsi="Arial"/>
          <w:sz w:val="22"/>
          <w:szCs w:val="22"/>
        </w:rPr>
        <w:t xml:space="preserve">) plus maintenance (</w:t>
      </w:r>
      <w:r>
        <w:rPr>
          <w:rFonts w:ascii="Arial" w:cs="Arial" w:eastAsia="Arial" w:hAnsi="Arial"/>
          <w:b/>
          <w:bCs/>
          <w:sz w:val="22"/>
          <w:szCs w:val="22"/>
        </w:rPr>
        <w:t xml:space="preserve">Annual_Gen_Maintenance_USD</w:t>
      </w:r>
      <w:r>
        <w:rPr>
          <w:rFonts w:ascii="Arial" w:cs="Arial" w:eastAsia="Arial" w:hAnsi="Arial"/>
          <w:sz w:val="22"/>
          <w:szCs w:val="22"/>
        </w:rPr>
        <w:t xml:space="preserve">) every year — often exceeding the annualised cost of solar.</w:t>
      </w:r>
    </w:p>
    <w:p>
      <w:pPr>
        <w:pStyle w:val="ListParagraph"/>
        <w:numPr>
          <w:ilvl w:val="0"/>
          <w:numId w:val="2"/>
        </w:numPr>
        <w:spacing w:before="60" w:after="60"/>
      </w:pPr>
      <w:r>
        <w:rPr>
          <w:rFonts w:ascii="Arial" w:cs="Arial" w:eastAsia="Arial" w:hAnsi="Arial"/>
          <w:sz w:val="22"/>
          <w:szCs w:val="22"/>
        </w:rPr>
        <w:t xml:space="preserve">This means the conversation with SME customers is not </w:t>
      </w:r>
      <w:r>
        <w:rPr>
          <w:rFonts w:ascii="Arial" w:cs="Arial" w:eastAsia="Arial" w:hAnsi="Arial"/>
          <w:b/>
          <w:bCs/>
          <w:sz w:val="22"/>
          <w:szCs w:val="22"/>
        </w:rPr>
        <w:t xml:space="preserve">"spend money on solar"</w:t>
      </w:r>
      <w:r>
        <w:rPr>
          <w:rFonts w:ascii="Arial" w:cs="Arial" w:eastAsia="Arial" w:hAnsi="Arial"/>
          <w:sz w:val="22"/>
          <w:szCs w:val="22"/>
        </w:rPr>
        <w:t xml:space="preserve"> but rather </w:t>
      </w:r>
      <w:r>
        <w:rPr>
          <w:rFonts w:ascii="Arial" w:cs="Arial" w:eastAsia="Arial" w:hAnsi="Arial"/>
          <w:b/>
          <w:bCs/>
          <w:sz w:val="22"/>
          <w:szCs w:val="22"/>
        </w:rPr>
        <w:t xml:space="preserve">"redirect your existing energy spend to a superior, cheaper solution."</w:t>
      </w:r>
      <w:r>
        <w:rPr>
          <w:rFonts w:ascii="Arial" w:cs="Arial" w:eastAsia="Arial" w:hAnsi="Arial"/>
          <w:sz w:val="22"/>
          <w:szCs w:val="22"/>
        </w:rPr>
        <w:t xml:space="preserve"> The financial model embedded in the dashboard operationalises this argument at the SME-profile level.</w:t>
      </w:r>
    </w:p>
    <w:p>
      <w:pPr>
        <w:pStyle w:val="ListParagraph"/>
        <w:numPr>
          <w:ilvl w:val="0"/>
          <w:numId w:val="2"/>
        </w:numPr>
        <w:spacing w:before="60" w:after="60"/>
      </w:pPr>
      <w:r>
        <w:rPr>
          <w:rFonts w:ascii="Arial" w:cs="Arial" w:eastAsia="Arial" w:hAnsi="Arial"/>
          <w:sz w:val="22"/>
          <w:szCs w:val="22"/>
        </w:rPr>
        <w:t xml:space="preserve">With </w:t>
      </w:r>
      <w:r>
        <w:rPr>
          <w:rFonts w:ascii="Arial" w:cs="Arial" w:eastAsia="Arial" w:hAnsi="Arial"/>
          <w:b/>
          <w:bCs/>
          <w:sz w:val="22"/>
          <w:szCs w:val="22"/>
        </w:rPr>
        <w:t xml:space="preserve">40% of SSA firms</w:t>
      </w:r>
      <w:r>
        <w:rPr>
          <w:rFonts w:ascii="Arial" w:cs="Arial" w:eastAsia="Arial" w:hAnsi="Arial"/>
          <w:sz w:val="22"/>
          <w:szCs w:val="22"/>
        </w:rPr>
        <w:t xml:space="preserve"> naming electricity as their #1 operational constraint, the willingness-to-engage on energy solutions is high — reducing customer acquisition cost.</w:t>
      </w:r>
    </w:p>
    <w:p>
      <w:pPr>
        <w:pStyle w:val="Heading2"/>
        <w:spacing w:before="240" w:after="100"/>
      </w:pPr>
      <w:r>
        <w:rPr>
          <w:rFonts w:ascii="Arial" w:cs="Arial" w:eastAsia="Arial" w:hAnsi="Arial"/>
          <w:b/>
          <w:bCs/>
          <w:color w:val="1B4F72"/>
          <w:sz w:val="26"/>
          <w:szCs w:val="26"/>
        </w:rPr>
        <w:t xml:space="preserve">2.3  Payback Period Is the Critical Sales Metric</w:t>
      </w:r>
    </w:p>
    <w:p>
      <w:pPr>
        <w:pStyle w:val="ListParagraph"/>
        <w:numPr>
          <w:ilvl w:val="0"/>
          <w:numId w:val="2"/>
        </w:numPr>
        <w:spacing w:before="60" w:after="60"/>
      </w:pPr>
      <w:r>
        <w:rPr>
          <w:rFonts w:ascii="Arial" w:cs="Arial" w:eastAsia="Arial" w:hAnsi="Arial"/>
          <w:sz w:val="22"/>
          <w:szCs w:val="22"/>
        </w:rPr>
        <w:t xml:space="preserve">The </w:t>
      </w:r>
      <w:r>
        <w:rPr>
          <w:rFonts w:ascii="Arial" w:cs="Arial" w:eastAsia="Arial" w:hAnsi="Arial"/>
          <w:b/>
          <w:bCs/>
          <w:sz w:val="22"/>
          <w:szCs w:val="22"/>
        </w:rPr>
        <w:t xml:space="preserve">Payback_Period_Years</w:t>
      </w:r>
      <w:r>
        <w:rPr>
          <w:rFonts w:ascii="Arial" w:cs="Arial" w:eastAsia="Arial" w:hAnsi="Arial"/>
          <w:sz w:val="22"/>
          <w:szCs w:val="22"/>
        </w:rPr>
        <w:t xml:space="preserve"> variable is the decisive number in any SME conversation. Short payback periods — achievable given high diesel costs and high irradiance — transform solar from an ESG commitment into a straightforward financial decision.</w:t>
      </w:r>
    </w:p>
    <w:p>
      <w:pPr>
        <w:pStyle w:val="ListParagraph"/>
        <w:numPr>
          <w:ilvl w:val="0"/>
          <w:numId w:val="2"/>
        </w:numPr>
        <w:spacing w:before="60" w:after="60"/>
      </w:pPr>
      <w:r>
        <w:rPr>
          <w:rFonts w:ascii="Arial" w:cs="Arial" w:eastAsia="Arial" w:hAnsi="Arial"/>
          <w:sz w:val="22"/>
          <w:szCs w:val="22"/>
        </w:rPr>
        <w:t xml:space="preserve">High GHI and DNI values across SSA (Global Solar Atlas data, measured in kWh/m²/yr) mean that solar panels generate more energy per installed kW than in most other markets, compressing payback periods and improving project economics.</w:t>
      </w:r>
    </w:p>
    <w:p>
      <w:pPr>
        <w:pStyle w:val="ListParagraph"/>
        <w:numPr>
          <w:ilvl w:val="0"/>
          <w:numId w:val="2"/>
        </w:numPr>
        <w:spacing w:before="60" w:after="60"/>
      </w:pPr>
      <w:r>
        <w:rPr>
          <w:rFonts w:ascii="Arial" w:cs="Arial" w:eastAsia="Arial" w:hAnsi="Arial"/>
          <w:sz w:val="22"/>
          <w:szCs w:val="22"/>
        </w:rPr>
        <w:t xml:space="preserve">Annual savings (</w:t>
      </w:r>
      <w:r>
        <w:rPr>
          <w:rFonts w:ascii="Arial" w:cs="Arial" w:eastAsia="Arial" w:hAnsi="Arial"/>
          <w:b/>
          <w:bCs/>
          <w:sz w:val="22"/>
          <w:szCs w:val="22"/>
        </w:rPr>
        <w:t xml:space="preserve">Annual_Saving_Solar_vs_Diesel_USD</w:t>
      </w:r>
      <w:r>
        <w:rPr>
          <w:rFonts w:ascii="Arial" w:cs="Arial" w:eastAsia="Arial" w:hAnsi="Arial"/>
          <w:sz w:val="22"/>
          <w:szCs w:val="22"/>
        </w:rPr>
        <w:t xml:space="preserve">) modelled per SME profile provide ready-made business case content for sales teams and procurement decision-makers.</w:t>
      </w:r>
    </w:p>
    <w:p>
      <w:pPr>
        <w:pStyle w:val="Heading2"/>
        <w:spacing w:before="240" w:after="100"/>
      </w:pPr>
      <w:r>
        <w:rPr>
          <w:rFonts w:ascii="Arial" w:cs="Arial" w:eastAsia="Arial" w:hAnsi="Arial"/>
          <w:b/>
          <w:bCs/>
          <w:color w:val="1B4F72"/>
          <w:sz w:val="26"/>
          <w:szCs w:val="26"/>
        </w:rPr>
        <w:t xml:space="preserve">2.4  The Health Sector Is an Underserved, High-Impact Vertical</w:t>
      </w:r>
    </w:p>
    <w:p>
      <w:pPr>
        <w:pStyle w:val="ListParagraph"/>
        <w:numPr>
          <w:ilvl w:val="0"/>
          <w:numId w:val="2"/>
        </w:numPr>
        <w:spacing w:before="60" w:after="60"/>
      </w:pPr>
      <w:r>
        <w:rPr>
          <w:rFonts w:ascii="Arial" w:cs="Arial" w:eastAsia="Arial" w:hAnsi="Arial"/>
          <w:b/>
          <w:bCs/>
          <w:color w:val="E67E22"/>
          <w:sz w:val="22"/>
          <w:szCs w:val="22"/>
        </w:rPr>
        <w:t xml:space="preserve">28–34%</w:t>
      </w:r>
      <w:r>
        <w:rPr>
          <w:rFonts w:ascii="Arial" w:cs="Arial" w:eastAsia="Arial" w:hAnsi="Arial"/>
          <w:sz w:val="22"/>
          <w:szCs w:val="22"/>
        </w:rPr>
        <w:t xml:space="preserve"> of SSA health facilities with reliable power represents a critical systems failure. This is not only a health crisis but an institutional procurement opportunity: hospitals and clinics require guaranteed uptime, which grid power cannot provide and diesel can only partially address.</w:t>
      </w:r>
    </w:p>
    <w:p>
      <w:pPr>
        <w:pStyle w:val="ListParagraph"/>
        <w:numPr>
          <w:ilvl w:val="0"/>
          <w:numId w:val="2"/>
        </w:numPr>
        <w:spacing w:before="60" w:after="60"/>
      </w:pPr>
      <w:r>
        <w:rPr>
          <w:rFonts w:ascii="Arial" w:cs="Arial" w:eastAsia="Arial" w:hAnsi="Arial"/>
          <w:b/>
          <w:bCs/>
          <w:color w:val="E67E22"/>
          <w:sz w:val="22"/>
          <w:szCs w:val="22"/>
        </w:rPr>
        <w:t xml:space="preserve">$4B+</w:t>
      </w:r>
      <w:r>
        <w:rPr>
          <w:rFonts w:ascii="Arial" w:cs="Arial" w:eastAsia="Arial" w:hAnsi="Arial"/>
          <w:sz w:val="22"/>
          <w:szCs w:val="22"/>
        </w:rPr>
        <w:t xml:space="preserve"> in annual post-harvest losses linked to cold chain failure creates a parallel agricultural opportunity. Cold chain operators — from vaccine distributors to food exporters — have an urgent, quantifiable need that solar can solve.</w:t>
      </w:r>
    </w:p>
    <w:p>
      <w:pPr>
        <w:pStyle w:val="Heading2"/>
        <w:spacing w:before="240" w:after="100"/>
      </w:pPr>
      <w:r>
        <w:rPr>
          <w:rFonts w:ascii="Arial" w:cs="Arial" w:eastAsia="Arial" w:hAnsi="Arial"/>
          <w:b/>
          <w:bCs/>
          <w:color w:val="1B4F72"/>
          <w:sz w:val="26"/>
          <w:szCs w:val="26"/>
        </w:rPr>
        <w:t xml:space="preserve">2.5  Renewable Share Headroom Signals Policy Alignment</w:t>
      </w:r>
    </w:p>
    <w:p>
      <w:pPr>
        <w:pStyle w:val="ListParagraph"/>
        <w:numPr>
          <w:ilvl w:val="0"/>
          <w:numId w:val="2"/>
        </w:numPr>
        <w:spacing w:before="60" w:after="60"/>
      </w:pPr>
      <w:r>
        <w:rPr>
          <w:rFonts w:ascii="Arial" w:cs="Arial" w:eastAsia="Arial" w:hAnsi="Arial"/>
          <w:sz w:val="22"/>
          <w:szCs w:val="22"/>
        </w:rPr>
        <w:t xml:space="preserve">The </w:t>
      </w:r>
      <w:r>
        <w:rPr>
          <w:rFonts w:ascii="Arial" w:cs="Arial" w:eastAsia="Arial" w:hAnsi="Arial"/>
          <w:b/>
          <w:bCs/>
          <w:sz w:val="22"/>
          <w:szCs w:val="22"/>
        </w:rPr>
        <w:t xml:space="preserve">Solar Growth Room</w:t>
      </w:r>
      <w:r>
        <w:rPr>
          <w:rFonts w:ascii="Arial" w:cs="Arial" w:eastAsia="Arial" w:hAnsi="Arial"/>
          <w:sz w:val="22"/>
          <w:szCs w:val="22"/>
        </w:rPr>
        <w:t xml:space="preserve"> metric (derived from Renewable_Share_FinalEnergy_Pct) shows that most SSA nations are far below their renewable energy targets, creating regulatory tailwinds: governments incentivising solar adoption, carbon credit opportunities, and potential for concessional financing.</w:t>
      </w:r>
    </w:p>
    <w:p>
      <w:pPr>
        <w:pStyle w:val="ListParagraph"/>
        <w:numPr>
          <w:ilvl w:val="0"/>
          <w:numId w:val="2"/>
        </w:numPr>
        <w:spacing w:before="60" w:after="60"/>
      </w:pPr>
      <w:r>
        <w:rPr>
          <w:rFonts w:ascii="Arial" w:cs="Arial" w:eastAsia="Arial" w:hAnsi="Arial"/>
          <w:sz w:val="22"/>
          <w:szCs w:val="22"/>
        </w:rPr>
        <w:t xml:space="preserve">Low </w:t>
      </w:r>
      <w:r>
        <w:rPr>
          <w:rFonts w:ascii="Arial" w:cs="Arial" w:eastAsia="Arial" w:hAnsi="Arial"/>
          <w:b/>
          <w:bCs/>
          <w:sz w:val="22"/>
          <w:szCs w:val="22"/>
        </w:rPr>
        <w:t xml:space="preserve">kWh per capita</w:t>
      </w:r>
      <w:r>
        <w:rPr>
          <w:rFonts w:ascii="Arial" w:cs="Arial" w:eastAsia="Arial" w:hAnsi="Arial"/>
          <w:sz w:val="22"/>
          <w:szCs w:val="22"/>
        </w:rPr>
        <w:t xml:space="preserve"> figures signal suppressed demand — not low demand. As energy access improves, electricity consumption per capita will rise, making early solar infrastructure investments increasingly valuable over time.</w:t>
      </w:r>
    </w:p>
    <w:p>
      <w:pPr>
        <w:pBdr>
          <w:bottom w:val="single" w:color="DDDDDD" w:sz="4"/>
        </w:pBdr>
        <w:spacing w:before="160" w:after="160"/>
      </w:pPr>
    </w:p>
    <w:p>
      <w:r>
        <w:br w:type="page"/>
      </w:r>
    </w:p>
    <w:p>
      <w:pPr>
        <w:pStyle w:val="Heading1"/>
        <w:pBdr>
          <w:bottom w:val="single" w:color="1B4F72" w:sz="8" w:space="6"/>
        </w:pBdr>
        <w:spacing w:before="360" w:after="120"/>
      </w:pPr>
      <w:r>
        <w:rPr>
          <w:rFonts w:ascii="Arial" w:cs="Arial" w:eastAsia="Arial" w:hAnsi="Arial"/>
          <w:b/>
          <w:bCs/>
          <w:color w:val="1B4F72"/>
          <w:sz w:val="32"/>
          <w:szCs w:val="32"/>
        </w:rPr>
        <w:t xml:space="preserve">3. RECOMMENDATIONS</w:t>
      </w:r>
    </w:p>
    <w:p>
      <w:pPr>
        <w:spacing w:before="80" w:after="100"/>
      </w:pPr>
      <w:r>
        <w:rPr>
          <w:rFonts w:ascii="Arial" w:cs="Arial" w:eastAsia="Arial" w:hAnsi="Arial"/>
          <w:sz w:val="22"/>
          <w:szCs w:val="22"/>
        </w:rPr>
        <w:t xml:space="preserve">The following recommendations are structured across three horizons: immediate market actions, medium-term capability development, and long-term strategic positioning.</w:t>
      </w:r>
    </w:p>
    <w:p>
      <w:pPr>
        <w:pStyle w:val="Heading2"/>
        <w:spacing w:before="240" w:after="100"/>
      </w:pPr>
      <w:r>
        <w:rPr>
          <w:rFonts w:ascii="Arial" w:cs="Arial" w:eastAsia="Arial" w:hAnsi="Arial"/>
          <w:b/>
          <w:bCs/>
          <w:color w:val="1B4F72"/>
          <w:sz w:val="26"/>
          <w:szCs w:val="26"/>
        </w:rPr>
        <w:t xml:space="preserve">3.1  Immediate Actions (0–6 Months)</w:t>
      </w:r>
    </w:p>
    <w:p>
      <w:pPr>
        <w:pStyle w:val="ListParagraph"/>
        <w:numPr>
          <w:ilvl w:val="0"/>
          <w:numId w:val="3"/>
        </w:numPr>
        <w:spacing w:before="60" w:after="60"/>
      </w:pPr>
      <w:r>
        <w:rPr>
          <w:rFonts w:ascii="Arial" w:cs="Arial" w:eastAsia="Arial" w:hAnsi="Arial"/>
          <w:b/>
          <w:bCs/>
          <w:sz w:val="22"/>
          <w:szCs w:val="22"/>
        </w:rPr>
        <w:t xml:space="preserve">Prioritise Nigeria and Chad for pilot deployment.</w:t>
      </w:r>
      <w:r>
        <w:rPr>
          <w:rFonts w:ascii="Arial" w:cs="Arial" w:eastAsia="Arial" w:hAnsi="Arial"/>
          <w:sz w:val="22"/>
          <w:szCs w:val="22"/>
        </w:rPr>
        <w:t xml:space="preserve"> These countries exhibit the highest outage rates (80M+ unserved, 96% firm outage rate) and present the clearest business case for immediate solar ROI. Pilot programmes in these markets will generate referenceable data for regional scaling.</w:t>
      </w:r>
    </w:p>
    <w:p>
      <w:pPr>
        <w:pStyle w:val="ListParagraph"/>
        <w:numPr>
          <w:ilvl w:val="0"/>
          <w:numId w:val="3"/>
        </w:numPr>
        <w:spacing w:before="60" w:after="60"/>
      </w:pPr>
      <w:r>
        <w:rPr>
          <w:rFonts w:ascii="Arial" w:cs="Arial" w:eastAsia="Arial" w:hAnsi="Arial"/>
          <w:b/>
          <w:bCs/>
          <w:sz w:val="22"/>
          <w:szCs w:val="22"/>
        </w:rPr>
        <w:t xml:space="preserve">Deploy the Financial Case Dashboard as a sales tool.</w:t>
      </w:r>
      <w:r>
        <w:rPr>
          <w:rFonts w:ascii="Arial" w:cs="Arial" w:eastAsia="Arial" w:hAnsi="Arial"/>
          <w:sz w:val="22"/>
          <w:szCs w:val="22"/>
        </w:rPr>
        <w:t xml:space="preserve"> The SolarSense ROI model (Solar_Install_Cost vs Total_Annual_Diesel_Cost vs Annual_Saving_Solar_vs_Diesel_USD) should be embedded into sales team workflows. Use SME profiles to generate customised payback period estimates during customer conversations.</w:t>
      </w:r>
    </w:p>
    <w:p>
      <w:pPr>
        <w:pStyle w:val="ListParagraph"/>
        <w:numPr>
          <w:ilvl w:val="0"/>
          <w:numId w:val="3"/>
        </w:numPr>
        <w:spacing w:before="60" w:after="60"/>
      </w:pPr>
      <w:r>
        <w:rPr>
          <w:rFonts w:ascii="Arial" w:cs="Arial" w:eastAsia="Arial" w:hAnsi="Arial"/>
          <w:b/>
          <w:bCs/>
          <w:sz w:val="22"/>
          <w:szCs w:val="22"/>
        </w:rPr>
        <w:t xml:space="preserve">Target generator-owning SMEs first.</w:t>
      </w:r>
      <w:r>
        <w:rPr>
          <w:rFonts w:ascii="Arial" w:cs="Arial" w:eastAsia="Arial" w:hAnsi="Arial"/>
          <w:sz w:val="22"/>
          <w:szCs w:val="22"/>
        </w:rPr>
        <w:t xml:space="preserve"> Firms already running generators are the warmest segment: they have proven willingness to pay, existing energy infrastructure awareness, and an ongoing cost base that solar can reduce immediately.</w:t>
      </w:r>
    </w:p>
    <w:p>
      <w:pPr>
        <w:pStyle w:val="Heading2"/>
        <w:spacing w:before="240" w:after="100"/>
      </w:pPr>
      <w:r>
        <w:rPr>
          <w:rFonts w:ascii="Arial" w:cs="Arial" w:eastAsia="Arial" w:hAnsi="Arial"/>
          <w:b/>
          <w:bCs/>
          <w:color w:val="1B4F72"/>
          <w:sz w:val="26"/>
          <w:szCs w:val="26"/>
        </w:rPr>
        <w:t xml:space="preserve">3.2  Medium-Term Development (6–18 Months)</w:t>
      </w:r>
    </w:p>
    <w:p>
      <w:pPr>
        <w:pStyle w:val="ListParagraph"/>
        <w:numPr>
          <w:ilvl w:val="0"/>
          <w:numId w:val="3"/>
        </w:numPr>
        <w:spacing w:before="60" w:after="60"/>
      </w:pPr>
      <w:r>
        <w:rPr>
          <w:rFonts w:ascii="Arial" w:cs="Arial" w:eastAsia="Arial" w:hAnsi="Arial"/>
          <w:b/>
          <w:bCs/>
          <w:sz w:val="22"/>
          <w:szCs w:val="22"/>
        </w:rPr>
        <w:t xml:space="preserve">Establish a Health Sector vertical.</w:t>
      </w:r>
      <w:r>
        <w:rPr>
          <w:rFonts w:ascii="Arial" w:cs="Arial" w:eastAsia="Arial" w:hAnsi="Arial"/>
          <w:sz w:val="22"/>
          <w:szCs w:val="22"/>
        </w:rPr>
        <w:t xml:space="preserve"> Given </w:t>
      </w:r>
      <w:r>
        <w:rPr>
          <w:rFonts w:ascii="Arial" w:cs="Arial" w:eastAsia="Arial" w:hAnsi="Arial"/>
          <w:b/>
          <w:bCs/>
          <w:sz w:val="22"/>
          <w:szCs w:val="22"/>
        </w:rPr>
        <w:t xml:space="preserve">28–34%</w:t>
      </w:r>
      <w:r>
        <w:rPr>
          <w:rFonts w:ascii="Arial" w:cs="Arial" w:eastAsia="Arial" w:hAnsi="Arial"/>
          <w:sz w:val="22"/>
          <w:szCs w:val="22"/>
        </w:rPr>
        <w:t xml:space="preserve"> health facility power reliability, develop a dedicated product and financing package for hospitals and clinics. Partner with NGOs, development finance institutions (DFIs), and ministries of health to access this segment at scale.</w:t>
      </w:r>
    </w:p>
    <w:p>
      <w:pPr>
        <w:pStyle w:val="ListParagraph"/>
        <w:numPr>
          <w:ilvl w:val="0"/>
          <w:numId w:val="3"/>
        </w:numPr>
        <w:spacing w:before="60" w:after="60"/>
      </w:pPr>
      <w:r>
        <w:rPr>
          <w:rFonts w:ascii="Arial" w:cs="Arial" w:eastAsia="Arial" w:hAnsi="Arial"/>
          <w:b/>
          <w:bCs/>
          <w:sz w:val="22"/>
          <w:szCs w:val="22"/>
        </w:rPr>
        <w:t xml:space="preserve">Build cold chain solar bundles for agri-food.</w:t>
      </w:r>
      <w:r>
        <w:rPr>
          <w:rFonts w:ascii="Arial" w:cs="Arial" w:eastAsia="Arial" w:hAnsi="Arial"/>
          <w:sz w:val="22"/>
          <w:szCs w:val="22"/>
        </w:rPr>
        <w:t xml:space="preserve"> The </w:t>
      </w:r>
      <w:r>
        <w:rPr>
          <w:rFonts w:ascii="Arial" w:cs="Arial" w:eastAsia="Arial" w:hAnsi="Arial"/>
          <w:b/>
          <w:bCs/>
          <w:sz w:val="22"/>
          <w:szCs w:val="22"/>
        </w:rPr>
        <w:t xml:space="preserve">$4B+</w:t>
      </w:r>
      <w:r>
        <w:rPr>
          <w:rFonts w:ascii="Arial" w:cs="Arial" w:eastAsia="Arial" w:hAnsi="Arial"/>
          <w:sz w:val="22"/>
          <w:szCs w:val="22"/>
        </w:rPr>
        <w:t xml:space="preserve"> post-harvest loss problem creates an ROI case that transcends normal solar economics. Package solar + cold storage solutions and target food exporters, vaccine supply chains, and agricultural cooperatives.</w:t>
      </w:r>
    </w:p>
    <w:p>
      <w:pPr>
        <w:pStyle w:val="ListParagraph"/>
        <w:numPr>
          <w:ilvl w:val="0"/>
          <w:numId w:val="3"/>
        </w:numPr>
        <w:spacing w:before="60" w:after="60"/>
      </w:pPr>
      <w:r>
        <w:rPr>
          <w:rFonts w:ascii="Arial" w:cs="Arial" w:eastAsia="Arial" w:hAnsi="Arial"/>
          <w:b/>
          <w:bCs/>
          <w:sz w:val="22"/>
          <w:szCs w:val="22"/>
        </w:rPr>
        <w:t xml:space="preserve">Country-level irradiance tiering for pricing.</w:t>
      </w:r>
      <w:r>
        <w:rPr>
          <w:rFonts w:ascii="Arial" w:cs="Arial" w:eastAsia="Arial" w:hAnsi="Arial"/>
          <w:sz w:val="22"/>
          <w:szCs w:val="22"/>
        </w:rPr>
        <w:t xml:space="preserve"> Use GHI and DNI data (Global Solar Atlas) to tier solar system sizing (Solar_System_kW) and pricing by country. High-irradiance markets can offer smaller, cheaper systems with the same output — reducing upfront cost barriers.</w:t>
      </w:r>
    </w:p>
    <w:p>
      <w:pPr>
        <w:pStyle w:val="Heading2"/>
        <w:spacing w:before="240" w:after="100"/>
      </w:pPr>
      <w:r>
        <w:rPr>
          <w:rFonts w:ascii="Arial" w:cs="Arial" w:eastAsia="Arial" w:hAnsi="Arial"/>
          <w:b/>
          <w:bCs/>
          <w:color w:val="1B4F72"/>
          <w:sz w:val="26"/>
          <w:szCs w:val="26"/>
        </w:rPr>
        <w:t xml:space="preserve">3.3  Long-Term Strategic Positioning (18+ Months)</w:t>
      </w:r>
    </w:p>
    <w:p>
      <w:pPr>
        <w:pStyle w:val="ListParagraph"/>
        <w:numPr>
          <w:ilvl w:val="0"/>
          <w:numId w:val="3"/>
        </w:numPr>
        <w:spacing w:before="60" w:after="60"/>
      </w:pPr>
      <w:r>
        <w:rPr>
          <w:rFonts w:ascii="Arial" w:cs="Arial" w:eastAsia="Arial" w:hAnsi="Arial"/>
          <w:b/>
          <w:bCs/>
          <w:sz w:val="22"/>
          <w:szCs w:val="22"/>
        </w:rPr>
        <w:t xml:space="preserve">Embed SolarSense analytics in country expansion decisions.</w:t>
      </w:r>
      <w:r>
        <w:rPr>
          <w:rFonts w:ascii="Arial" w:cs="Arial" w:eastAsia="Arial" w:hAnsi="Arial"/>
          <w:sz w:val="22"/>
          <w:szCs w:val="22"/>
        </w:rPr>
        <w:t xml:space="preserve"> The dashboard's multi-table data model — combining access, outage, irradiance, generator ownership, and financial ROI — should become the standard decision-support tool for any new market entry. Refresh data annually as World Bank and ESMAP datasets update.</w:t>
      </w:r>
    </w:p>
    <w:p>
      <w:pPr>
        <w:pStyle w:val="ListParagraph"/>
        <w:numPr>
          <w:ilvl w:val="0"/>
          <w:numId w:val="3"/>
        </w:numPr>
        <w:spacing w:before="60" w:after="60"/>
      </w:pPr>
      <w:r>
        <w:rPr>
          <w:rFonts w:ascii="Arial" w:cs="Arial" w:eastAsia="Arial" w:hAnsi="Arial"/>
          <w:b/>
          <w:bCs/>
          <w:sz w:val="22"/>
          <w:szCs w:val="22"/>
        </w:rPr>
        <w:t xml:space="preserve">Develop a Carbon Credit and ESG Monetisation Layer.</w:t>
      </w:r>
      <w:r>
        <w:rPr>
          <w:rFonts w:ascii="Arial" w:cs="Arial" w:eastAsia="Arial" w:hAnsi="Arial"/>
          <w:sz w:val="22"/>
          <w:szCs w:val="22"/>
        </w:rPr>
        <w:t xml:space="preserve"> As Solar Growth Room metrics demonstrate unused renewable capacity, position SolarSense customers to access carbon credits from solar displacement of diesel. This creates an additional revenue stream that further compresses payback periods.</w:t>
      </w:r>
    </w:p>
    <w:p>
      <w:pPr>
        <w:pStyle w:val="ListParagraph"/>
        <w:numPr>
          <w:ilvl w:val="0"/>
          <w:numId w:val="3"/>
        </w:numPr>
        <w:spacing w:before="60" w:after="60"/>
      </w:pPr>
      <w:r>
        <w:rPr>
          <w:rFonts w:ascii="Arial" w:cs="Arial" w:eastAsia="Arial" w:hAnsi="Arial"/>
          <w:b/>
          <w:bCs/>
          <w:sz w:val="22"/>
          <w:szCs w:val="22"/>
        </w:rPr>
        <w:t xml:space="preserve">Advocate for data transparency.</w:t>
      </w:r>
      <w:r>
        <w:rPr>
          <w:rFonts w:ascii="Arial" w:cs="Arial" w:eastAsia="Arial" w:hAnsi="Arial"/>
          <w:sz w:val="22"/>
          <w:szCs w:val="22"/>
        </w:rPr>
        <w:t xml:space="preserve"> The dashboard reveals data gaps — inconsistent survey years, missing country coverage — across SSA. Engaging with World Bank and ESMAP data programmes will improve the quality of future SolarSense intelligence and demonstrate thought leadership.</w:t>
      </w:r>
    </w:p>
    <w:p>
      <w:pPr>
        <w:pBdr>
          <w:bottom w:val="single" w:color="DDDDDD" w:sz="4"/>
        </w:pBdr>
        <w:spacing w:before="160" w:after="160"/>
      </w:pPr>
    </w:p>
    <w:p>
      <w:pPr>
        <w:spacing w:before="360" w:after="80"/>
        <w:jc w:val="center"/>
      </w:pPr>
      <w:r>
        <w:rPr>
          <w:rFonts w:ascii="Arial" w:cs="Arial" w:eastAsia="Arial" w:hAnsi="Arial"/>
          <w:i/>
          <w:iCs/>
          <w:color w:val="888888"/>
          <w:sz w:val="18"/>
          <w:szCs w:val="18"/>
        </w:rPr>
        <w:t xml:space="preserve">SolarSense AI Dashboard | Stakeholder Intelligence Report | February 2026</w:t>
      </w:r>
    </w:p>
    <w:p>
      <w:pPr>
        <w:jc w:val="center"/>
      </w:pPr>
      <w:r>
        <w:rPr>
          <w:rFonts w:ascii="Arial" w:cs="Arial" w:eastAsia="Arial" w:hAnsi="Arial"/>
          <w:color w:val="AAAAAA"/>
          <w:sz w:val="16"/>
          <w:szCs w:val="16"/>
        </w:rPr>
        <w:t xml:space="preserve">Data Sources: World Bank Enterprise Surveys, ESMAP SDG7 Tracking 2025, WHO 2023, Global Solar Atlas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Arial" w:cs="Arial" w:eastAsia="Arial" w:hAnsi="Arial"/>
      <w:b/>
      <w:bCs/>
      <w:color w:val="1B4F72"/>
      <w:sz w:val="32"/>
      <w:szCs w:val="32"/>
    </w:rPr>
  </w:style>
  <w:style w:type="paragraph" w:styleId="Heading2">
    <w:name w:val="Heading 2"/>
    <w:basedOn w:val="Normal"/>
    <w:next w:val="Normal"/>
    <w:pPr>
      <w:spacing w:before="240" w:after="10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2026-02-24T20:39:56.607Z</dcterms:created>
  <dcterms:modified xsi:type="dcterms:W3CDTF">2026-02-24T20:39:56.608Z</dcterms:modified>
</cp:coreProperties>
</file>

<file path=docProps/custom.xml><?xml version="1.0" encoding="utf-8"?>
<Properties xmlns="http://schemas.openxmlformats.org/officeDocument/2006/custom-properties" xmlns:vt="http://schemas.openxmlformats.org/officeDocument/2006/docPropsVTypes"/>
</file>