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SolarSense DSE</w:t>
      </w:r>
    </w:p>
    <w:p>
      <w:pPr>
        <w:spacing w:before="0" w:after="120"/>
      </w:pPr>
      <w:r>
        <w:rPr>
          <w:rFonts w:ascii="Arial" w:cs="Arial" w:eastAsia="Arial" w:hAnsi="Arial"/>
          <w:b/>
          <w:bCs/>
          <w:color w:val="2D6A3F"/>
          <w:sz w:val="44"/>
          <w:szCs w:val="44"/>
        </w:rPr>
        <w:t xml:space="preserve">CBECS-to-Africa Adaptation Methodology</w:t>
      </w:r>
    </w:p>
    <w:p>
      <w:pPr>
        <w:spacing w:before="0" w:after="60"/>
      </w:pPr>
      <w:r>
        <w:rPr>
          <w:rFonts w:ascii="Arial" w:cs="Arial" w:eastAsia="Arial" w:hAnsi="Arial"/>
          <w:i/>
          <w:iCs/>
          <w:color w:val="1A5276"/>
          <w:sz w:val="24"/>
          <w:szCs w:val="24"/>
        </w:rPr>
        <w:t xml:space="preserve">Model 1 – Energy Consumption Prediction | Methodology, Limitations and Future Work</w:t>
      </w:r>
    </w:p>
    <w:p>
      <w:pPr>
        <w:spacing w:before="0" w:after="480"/>
      </w:pPr>
      <w:r>
        <w:rPr>
          <w:rFonts w:ascii="Arial" w:cs="Arial" w:eastAsia="Arial" w:hAnsi="Arial"/>
          <w:color w:val="888888"/>
          <w:sz w:val="20"/>
          <w:szCs w:val="20"/>
        </w:rPr>
        <w:t xml:space="preserve">Version 1.0 | February 2026 | SolarSense DSE Team</w:t>
      </w:r>
    </w:p>
    <w:p>
      <w:pPr>
        <w:pStyle w:val="Heading1"/>
        <w:spacing w:before="360" w:after="180"/>
      </w:pPr>
      <w:r>
        <w:rPr>
          <w:rFonts w:ascii="Arial" w:cs="Arial" w:eastAsia="Arial" w:hAnsi="Arial"/>
          <w:b/>
          <w:bCs/>
          <w:color w:val="2D6A3F"/>
          <w:sz w:val="32"/>
          <w:szCs w:val="32"/>
        </w:rPr>
        <w:t xml:space="preserve">Executive Summary</w:t>
      </w:r>
    </w:p>
    <w:p>
      <w:pPr>
        <w:spacing w:before="80" w:after="120"/>
        <w:jc w:val="both"/>
      </w:pPr>
      <w:r>
        <w:rPr>
          <w:rFonts w:ascii="Arial" w:cs="Arial" w:eastAsia="Arial" w:hAnsi="Arial"/>
          <w:sz w:val="22"/>
          <w:szCs w:val="22"/>
        </w:rPr>
        <w:t xml:space="preserve">Model 1 of the SolarSense DSE pipeline predicts monthly electricity consumption for food retail SMEs in Sub-Saharan Africa. In the absence of publicly available African commercial building energy datasets, the model is trained on the US Commercial Buildings Energy Consumption Survey 2018 (CBECS), filtered to food retail building types. This document describes the methodology used to adapt CBECS data and features to the African SME context, justifies the feature mapping decisions made during development, identifies the known limitations of this approach, and outlines a structured research agenda to improve generalisability over time.</w:t>
      </w:r>
    </w:p>
    <w:p>
      <w:pPr>
        <w:spacing w:before="60" w:after="60"/>
      </w:pPr>
      <w:r>
        <w:t xml:space="preserve"/>
      </w:r>
    </w:p>
    <w:p>
      <w:pPr>
        <w:spacing w:before="80" w:after="120"/>
        <w:jc w:val="both"/>
      </w:pPr>
      <w:r>
        <w:rPr>
          <w:rFonts w:ascii="Arial" w:cs="Arial" w:eastAsia="Arial" w:hAnsi="Arial"/>
          <w:sz w:val="22"/>
          <w:szCs w:val="22"/>
        </w:rPr>
        <w:t xml:space="preserve">The core argument is as follows: while CBECS is not an ideal training dataset for African SME energy estimation, it is the best available structured dataset with sufficiently rich feature coverage for food retail buildings, and the adaptation methodology—including feature mapping, architectural assumptions, climate post-processing, and carefully bounded predictions—produces estimates that are fit for purpose at the MVP stage, where the target error tolerance is ±20%.</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1. Why CBECS 2018? Data Source Rationale</w:t>
      </w:r>
    </w:p>
    <w:p>
      <w:pPr>
        <w:pStyle w:val="Heading2"/>
        <w:spacing w:before="280" w:after="140"/>
      </w:pPr>
      <w:r>
        <w:rPr>
          <w:rFonts w:ascii="Arial" w:cs="Arial" w:eastAsia="Arial" w:hAnsi="Arial"/>
          <w:b/>
          <w:bCs/>
          <w:color w:val="1A5276"/>
          <w:sz w:val="26"/>
          <w:szCs w:val="26"/>
        </w:rPr>
        <w:t xml:space="preserve">1.1 The African Commercial Energy Data Gap</w:t>
      </w:r>
    </w:p>
    <w:p>
      <w:pPr>
        <w:spacing w:before="80" w:after="120"/>
        <w:jc w:val="both"/>
      </w:pPr>
      <w:r>
        <w:rPr>
          <w:rFonts w:ascii="Arial" w:cs="Arial" w:eastAsia="Arial" w:hAnsi="Arial"/>
          <w:sz w:val="22"/>
          <w:szCs w:val="22"/>
        </w:rPr>
        <w:t xml:space="preserve">The fundamental challenge motivating this methodology is the near-total absence of publicly available, structured energy consumption datasets for commercial buildings in Sub-Saharan Africa. Unlike the US, European Union, or Australia, no African country has a national-scale commercial building energy consumption survey analogous to CBECS. The reasons are well-documented: metering infrastructure is limited, grid reliability is poor (making energy data noisy), and regulatory frameworks requiring energy disclosure are nascent or absent.</w:t>
      </w:r>
    </w:p>
    <w:p>
      <w:pPr>
        <w:spacing w:before="60" w:after="60"/>
      </w:pPr>
      <w:r>
        <w:t xml:space="preserve"/>
      </w:r>
    </w:p>
    <w:p>
      <w:pPr>
        <w:spacing w:before="80" w:after="120"/>
        <w:jc w:val="both"/>
      </w:pPr>
      <w:r>
        <w:rPr>
          <w:rFonts w:ascii="Arial" w:cs="Arial" w:eastAsia="Arial" w:hAnsi="Arial"/>
          <w:sz w:val="22"/>
          <w:szCs w:val="22"/>
        </w:rPr>
        <w:t xml:space="preserve">This gap is not unique to energy data. It reflects a broader pattern in which data-driven approaches developed in high-income countries face a 'data desert' when applied to African contexts. For the SolarSense MVP, the choice is therefore not between CBECS and a superior African dataset—it is between CBECS and no structured training data at all.</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1.2 Why CBECS Is the Best Available Proxy</w:t>
      </w:r>
    </w:p>
    <w:p>
      <w:pPr>
        <w:spacing w:before="80" w:after="120"/>
        <w:jc w:val="both"/>
      </w:pPr>
      <w:r>
        <w:rPr>
          <w:rFonts w:ascii="Arial" w:cs="Arial" w:eastAsia="Arial" w:hAnsi="Arial"/>
          <w:sz w:val="22"/>
          <w:szCs w:val="22"/>
        </w:rPr>
        <w:t xml:space="preserve">Despite its geographic limitations, CBECS 2018 offers several properties that make it a reasonable proxy for this application:</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Food retail specificity: </w:t>
      </w:r>
      <w:r>
        <w:rPr>
          <w:rFonts w:ascii="Arial" w:cs="Arial" w:eastAsia="Arial" w:hAnsi="Arial"/>
          <w:sz w:val="22"/>
          <w:szCs w:val="22"/>
        </w:rPr>
        <w:t xml:space="preserve">CBECS includes Principal Building Activity (PBA) codes 11 (Food Sales: grocery stores, supermarkets) and 12 (Food Service: restaurants, cafeterias). These categories map more directly to the target business types—butcheries, groceries, mini-supermarkets—than any other available structured dataset.</w:t>
      </w:r>
    </w:p>
    <w:p>
      <w:pPr>
        <w:pStyle w:val="ListParagraph"/>
        <w:numPr>
          <w:ilvl w:val="0"/>
          <w:numId w:val="2"/>
        </w:numPr>
        <w:spacing w:before="60" w:after="60"/>
      </w:pPr>
      <w:r>
        <w:rPr>
          <w:rFonts w:ascii="Arial" w:cs="Arial" w:eastAsia="Arial" w:hAnsi="Arial"/>
          <w:b/>
          <w:bCs/>
          <w:sz w:val="22"/>
          <w:szCs w:val="22"/>
        </w:rPr>
        <w:t xml:space="preserve">Refrigeration feature coverage: </w:t>
      </w:r>
      <w:r>
        <w:rPr>
          <w:rFonts w:ascii="Arial" w:cs="Arial" w:eastAsia="Arial" w:hAnsi="Arial"/>
          <w:sz w:val="22"/>
          <w:szCs w:val="22"/>
        </w:rPr>
        <w:t xml:space="preserve">CBECS captures refrigeration unit counts (RFGCOMPN), which is the single most important feature for SolarSense's target businesses. No alternative open dataset provides this at scale.</w:t>
      </w:r>
    </w:p>
    <w:p>
      <w:pPr>
        <w:pStyle w:val="ListParagraph"/>
        <w:numPr>
          <w:ilvl w:val="0"/>
          <w:numId w:val="2"/>
        </w:numPr>
        <w:spacing w:before="60" w:after="60"/>
      </w:pPr>
      <w:r>
        <w:rPr>
          <w:rFonts w:ascii="Arial" w:cs="Arial" w:eastAsia="Arial" w:hAnsi="Arial"/>
          <w:b/>
          <w:bCs/>
          <w:sz w:val="22"/>
          <w:szCs w:val="22"/>
        </w:rPr>
        <w:t xml:space="preserve">Building physics features: </w:t>
      </w:r>
      <w:r>
        <w:rPr>
          <w:rFonts w:ascii="Arial" w:cs="Arial" w:eastAsia="Arial" w:hAnsi="Arial"/>
          <w:sz w:val="22"/>
          <w:szCs w:val="22"/>
        </w:rPr>
        <w:t xml:space="preserve">CBECS captures floor area (SQFT), operating hours (WKHRS), worker counts (NWKER), months of operation (MONUSE), and building age (YRCONC)—all of which are physical features that generalise across geographies, even if the absolute consumption values do not.</w:t>
      </w:r>
    </w:p>
    <w:p>
      <w:pPr>
        <w:pStyle w:val="ListParagraph"/>
        <w:numPr>
          <w:ilvl w:val="0"/>
          <w:numId w:val="2"/>
        </w:numPr>
        <w:spacing w:before="60" w:after="60"/>
      </w:pPr>
      <w:r>
        <w:rPr>
          <w:rFonts w:ascii="Arial" w:cs="Arial" w:eastAsia="Arial" w:hAnsi="Arial"/>
          <w:b/>
          <w:bCs/>
          <w:sz w:val="22"/>
          <w:szCs w:val="22"/>
        </w:rPr>
        <w:t xml:space="preserve">Sample size: </w:t>
      </w:r>
      <w:r>
        <w:rPr>
          <w:rFonts w:ascii="Arial" w:cs="Arial" w:eastAsia="Arial" w:hAnsi="Arial"/>
          <w:sz w:val="22"/>
          <w:szCs w:val="22"/>
        </w:rPr>
        <w:t xml:space="preserve">291 food retail buildings in total (232 training, 59 test), which is the minimum viable sample for a Gradient Boosting model of this complexity. No African equivalent exists at this scale.</w:t>
      </w:r>
    </w:p>
    <w:p>
      <w:pPr>
        <w:pStyle w:val="ListParagraph"/>
        <w:numPr>
          <w:ilvl w:val="0"/>
          <w:numId w:val="2"/>
        </w:numPr>
        <w:spacing w:before="60" w:after="60"/>
      </w:pPr>
      <w:r>
        <w:rPr>
          <w:rFonts w:ascii="Arial" w:cs="Arial" w:eastAsia="Arial" w:hAnsi="Arial"/>
          <w:b/>
          <w:bCs/>
          <w:sz w:val="22"/>
          <w:szCs w:val="22"/>
        </w:rPr>
        <w:t xml:space="preserve">Open and reproducible: </w:t>
      </w:r>
      <w:r>
        <w:rPr>
          <w:rFonts w:ascii="Arial" w:cs="Arial" w:eastAsia="Arial" w:hAnsi="Arial"/>
          <w:sz w:val="22"/>
          <w:szCs w:val="22"/>
        </w:rPr>
        <w:t xml:space="preserve">CBECS is publicly available from the US Energy Information Administration (EIA), enabling full reproducibility and auditability of the training pipeline.</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1.3 Known Structural Limitations of CBECS as a Proxy</w:t>
      </w:r>
    </w:p>
    <w:p>
      <w:pPr>
        <w:spacing w:before="80" w:after="120"/>
        <w:jc w:val="both"/>
      </w:pPr>
      <w:r>
        <w:rPr>
          <w:rFonts w:ascii="Arial" w:cs="Arial" w:eastAsia="Arial" w:hAnsi="Arial"/>
          <w:sz w:val="22"/>
          <w:szCs w:val="22"/>
        </w:rPr>
        <w:t xml:space="preserve">The following structural limitations must be acknowledged upfront:</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Geographic mismatch: </w:t>
      </w:r>
      <w:r>
        <w:rPr>
          <w:rFonts w:ascii="Arial" w:cs="Arial" w:eastAsia="Arial" w:hAnsi="Arial"/>
          <w:sz w:val="22"/>
          <w:szCs w:val="22"/>
        </w:rPr>
        <w:t xml:space="preserve">CBECS surveys US buildings. The climate, construction standards, equipment efficiency, operational patterns, and energy tariff structures of US food retail buildings are systematically different from Sub-Saharan African SMEs.</w:t>
      </w:r>
    </w:p>
    <w:p>
      <w:pPr>
        <w:pStyle w:val="ListParagraph"/>
        <w:numPr>
          <w:ilvl w:val="0"/>
          <w:numId w:val="2"/>
        </w:numPr>
        <w:spacing w:before="60" w:after="60"/>
      </w:pPr>
      <w:r>
        <w:rPr>
          <w:rFonts w:ascii="Arial" w:cs="Arial" w:eastAsia="Arial" w:hAnsi="Arial"/>
          <w:b/>
          <w:bCs/>
          <w:sz w:val="22"/>
          <w:szCs w:val="22"/>
        </w:rPr>
        <w:t xml:space="preserve">Building scale mismatch: </w:t>
      </w:r>
      <w:r>
        <w:rPr>
          <w:rFonts w:ascii="Arial" w:cs="Arial" w:eastAsia="Arial" w:hAnsi="Arial"/>
          <w:sz w:val="22"/>
          <w:szCs w:val="22"/>
        </w:rPr>
        <w:t xml:space="preserve">US CBECS food retail buildings tend to be larger than Sub-Saharan African SMEs. The median US food sales building in CBECS has significantly more floor area than a typical Lagos butchery or Nairobi corner grocery. The model must generalise from a larger-building distribution to a smaller-building deployment context.</w:t>
      </w:r>
    </w:p>
    <w:p>
      <w:pPr>
        <w:pStyle w:val="ListParagraph"/>
        <w:numPr>
          <w:ilvl w:val="0"/>
          <w:numId w:val="2"/>
        </w:numPr>
        <w:spacing w:before="60" w:after="60"/>
      </w:pPr>
      <w:r>
        <w:rPr>
          <w:rFonts w:ascii="Arial" w:cs="Arial" w:eastAsia="Arial" w:hAnsi="Arial"/>
          <w:b/>
          <w:bCs/>
          <w:sz w:val="22"/>
          <w:szCs w:val="22"/>
        </w:rPr>
        <w:t xml:space="preserve">Equipment efficiency mismatch: </w:t>
      </w:r>
      <w:r>
        <w:rPr>
          <w:rFonts w:ascii="Arial" w:cs="Arial" w:eastAsia="Arial" w:hAnsi="Arial"/>
          <w:sz w:val="22"/>
          <w:szCs w:val="22"/>
        </w:rPr>
        <w:t xml:space="preserve">US commercial refrigeration equipment is generally newer and more efficient than equipment commonly deployed in African SMEs. CBECS data reflects Energy Star-era efficiency improvements that are not representative of African equipment fleets.</w:t>
      </w:r>
    </w:p>
    <w:p>
      <w:pPr>
        <w:pStyle w:val="ListParagraph"/>
        <w:numPr>
          <w:ilvl w:val="0"/>
          <w:numId w:val="2"/>
        </w:numPr>
        <w:spacing w:before="60" w:after="60"/>
      </w:pPr>
      <w:r>
        <w:rPr>
          <w:rFonts w:ascii="Arial" w:cs="Arial" w:eastAsia="Arial" w:hAnsi="Arial"/>
          <w:b/>
          <w:bCs/>
          <w:sz w:val="22"/>
          <w:szCs w:val="22"/>
        </w:rPr>
        <w:t xml:space="preserve">Heating load contamination: </w:t>
      </w:r>
      <w:r>
        <w:rPr>
          <w:rFonts w:ascii="Arial" w:cs="Arial" w:eastAsia="Arial" w:hAnsi="Arial"/>
          <w:sz w:val="22"/>
          <w:szCs w:val="22"/>
        </w:rPr>
        <w:t xml:space="preserve">US food retail buildings in CBECS include heating energy consumption, particularly in colder northern states. African SMEs have zero heating load. This means the absolute kWh values in CBECS are compositionally different from what would be observed in Africa, even for the same floor area and refrigeration unit count.</w:t>
      </w:r>
    </w:p>
    <w:p>
      <w:pPr>
        <w:pStyle w:val="ListParagraph"/>
        <w:numPr>
          <w:ilvl w:val="0"/>
          <w:numId w:val="2"/>
        </w:numPr>
        <w:spacing w:before="60" w:after="60"/>
      </w:pPr>
      <w:r>
        <w:rPr>
          <w:rFonts w:ascii="Arial" w:cs="Arial" w:eastAsia="Arial" w:hAnsi="Arial"/>
          <w:b/>
          <w:bCs/>
          <w:sz w:val="22"/>
          <w:szCs w:val="22"/>
        </w:rPr>
        <w:t xml:space="preserve">Grid composition: </w:t>
      </w:r>
      <w:r>
        <w:rPr>
          <w:rFonts w:ascii="Arial" w:cs="Arial" w:eastAsia="Arial" w:hAnsi="Arial"/>
          <w:sz w:val="22"/>
          <w:szCs w:val="22"/>
        </w:rPr>
        <w:t xml:space="preserve">CBECS captures grid electricity consumption. In Africa, many SMEs supplement grid power with diesel generators, whose energy consumption is not metered or captured. This means real-world consumption may be higher than Model 1 predicts, even after climate adjustment.</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2. Feature Mapping Decisions and Justifications</w:t>
      </w:r>
    </w:p>
    <w:p>
      <w:pPr>
        <w:spacing w:before="80" w:after="120"/>
        <w:jc w:val="both"/>
      </w:pPr>
      <w:r>
        <w:rPr>
          <w:rFonts w:ascii="Arial" w:cs="Arial" w:eastAsia="Arial" w:hAnsi="Arial"/>
          <w:sz w:val="22"/>
          <w:szCs w:val="22"/>
        </w:rPr>
        <w:t xml:space="preserve">The following table maps CBECS features to the API inputs accepted by Model 1, explains the mapping rationale, and notes where assumptions or approximations are required.</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4160"/>
      </w:tblGrid>
      <w:tr>
        <w:trPr>
          <w:tblHeader/>
        </w:trPr>
        <w:tc>
          <w:tcPr>
            <w:tcW w:type="dxa" w:w="14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CBECS Feature</w:t>
            </w:r>
          </w:p>
        </w:tc>
        <w:tc>
          <w:tcPr>
            <w:tcW w:type="dxa" w:w="14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API Input</w:t>
            </w:r>
          </w:p>
        </w:tc>
        <w:tc>
          <w:tcPr>
            <w:tcW w:type="dxa" w:w="14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Mapping</w:t>
            </w:r>
          </w:p>
        </w:tc>
        <w:tc>
          <w:tcPr>
            <w:tcW w:type="dxa" w:w="416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Justification &amp; Assumptions</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SQFT (sq ft)</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sqft_m2 (m²)</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Convert: 1 m² = 10.764 sq ft</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Direct physical equivalent. Unit conversion applied at preprocessing. Relationship between floor area and energy is physically robust across geographies.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WKHRS (hrs/week)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operating_hours_weekly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mapping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hours is a physical feature with direct equivalent. African SMEs may have different operating patterns but the feature remains valid.</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RFGCOMPN (count)</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num_refrigeration_units</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Direct mapping</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The most important feature for the target business types. Refrigeration unit count is a robust proxy for refrigeration load regardless of geography.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NWKER (count)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num_workers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mapping; default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count as proxy for plug load and activity level. Defaults to 5 if not provided, reflecting a typical small SME.</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MONUSE (months)</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months_per_year</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Direct mapping; default 12</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Months of operation per year. Most African food retail SMEs operate year-round, hence 12 is the appropriate default.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NFLOOR (floors)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Assumption for African SMEs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Single-floor operation is typical for small food retail SMEs in Sub-Saharan Africa. Hardcoding avoids user confusion and reflects the deployment context.</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YRCONC (category)</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Hardcoded: 5</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Moderate construction age assumption</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Category 5 represents moderately aged construction. This avoids optimistic (new) or pessimistic (very old) efficiency assumptions. A known limitation.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PBA code (11/12)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 to label-encoded integer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type maps to PBA 11 or 12. Butchery and grocery map to Food Sales (PBA 11); mini-supermarket maps similarly.</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cendiv (census division)</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location (city string)</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Climate factor lookup, not direct mapping</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US census divisions have no direct equivalent. Location is used only for climate adjustment post-processing, not as a model input feature.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kwh_per_sqft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Engineered from above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intensity ratio. Computed from predicted output / sqft_m2. Valid as a quality check but circular in the prediction pipeline.</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sqft_per_worker</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Engineered from sqft + workers</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Derived feature</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Space efficiency proxy. Valid across geographies as a relative measure.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refrigeration_density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Engineered from rfg + sqft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Refrigeration units per 1,000 sq ft. Captures intensity of refrigeration relative to space.</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is_high_refrigeration</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Engineered binary flag</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Derived from RFGCOMPN median</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Binary indicator based on training data median. The median threshold is US-derived, which may not reflect the African distribution.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is_extended_hours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Engineered binary 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&gt; 60/week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threshold is transferable as it represents 'more than standard business hours', applicable in any geography.</w:t>
            </w:r>
          </w:p>
        </w:tc>
      </w:tr>
      <w:tr>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size_category</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Engineered from SQFT</w:t>
            </w:r>
          </w:p>
        </w:tc>
        <w:tc>
          <w:tcPr>
            <w:tcW w:type="dxa" w:w="14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Small / Medium / Large</w:t>
            </w:r>
          </w:p>
        </w:tc>
        <w:tc>
          <w:tcPr>
            <w:tcW w:type="dxa" w:w="4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Size boundaries derived from CBECS distribution. Boundaries may not reflect African SME size distribution, but the feature type is valid.</w:t>
            </w:r>
          </w:p>
        </w:tc>
      </w:tr>
    </w:tbl>
    <w:p>
      <w:pPr>
        <w:spacing w:before="60" w:after="60"/>
      </w:pPr>
      <w:r>
        <w:t xml:space="preserve"/>
      </w:r>
    </w:p>
    <w:p>
      <w:pPr>
        <w:pStyle w:val="Heading2"/>
        <w:spacing w:before="280" w:after="140"/>
      </w:pPr>
      <w:r>
        <w:rPr>
          <w:rFonts w:ascii="Arial" w:cs="Arial" w:eastAsia="Arial" w:hAnsi="Arial"/>
          <w:b/>
          <w:bCs/>
          <w:color w:val="1A5276"/>
          <w:sz w:val="26"/>
          <w:szCs w:val="26"/>
        </w:rPr>
        <w:t xml:space="preserve">2.1 Most Defensible Feature Mappings</w:t>
      </w:r>
    </w:p>
    <w:p>
      <w:pPr>
        <w:spacing w:before="80" w:after="120"/>
        <w:jc w:val="both"/>
      </w:pPr>
      <w:r>
        <w:rPr>
          <w:rFonts w:ascii="Arial" w:cs="Arial" w:eastAsia="Arial" w:hAnsi="Arial"/>
          <w:sz w:val="22"/>
          <w:szCs w:val="22"/>
        </w:rPr>
        <w:t xml:space="preserve">The features with the strongest justification for cross-geographic transfer are the physical quantity features: floor area (SQFT → sqft_m2), operating hours (WKHRS → operating_hours_weekly), and refrigeration unit count (RFGCOMPN → num_refrigeration_units). These are dimensionally equivalent and represent physical realities of the building that are meaningful regardless of geography. The relationship between refrigeration unit count and refrigeration energy consumption is governed by thermodynamics and equipment specifications, not by US-specific regulatory or social factors.</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2.2 Most Contested Feature Mappings</w:t>
      </w:r>
    </w:p>
    <w:p>
      <w:pPr>
        <w:spacing w:before="80" w:after="120"/>
        <w:jc w:val="both"/>
      </w:pPr>
      <w:r>
        <w:rPr>
          <w:rFonts w:ascii="Arial" w:cs="Arial" w:eastAsia="Arial" w:hAnsi="Arial"/>
          <w:b/>
          <w:bCs/>
          <w:sz w:val="22"/>
          <w:szCs w:val="22"/>
        </w:rPr>
        <w:t xml:space="preserve">Business type encoding (pba_encoded): </w:t>
      </w:r>
      <w:r>
        <w:rPr>
          <w:rFonts w:ascii="Arial" w:cs="Arial" w:eastAsia="Arial" w:hAnsi="Arial"/>
          <w:sz w:val="22"/>
          <w:szCs w:val="22"/>
        </w:rPr>
        <w:t xml:space="preserve">The PBA codes 11 and 12 in CBECS were designed for the US food retail industry taxonomy. The mapping to 'butchery', 'grocery', and 'mini-supermarket' involves a degree of conceptual stretching. African butcheries in particular have a very different equipment profile from US food sales buildings—they are dominated by meat refrigeration and cutting equipment rather than the broader product mix of a US grocery store. This mapping is the single most uncertain feature decision in the current implementation.</w:t>
      </w:r>
    </w:p>
    <w:p>
      <w:pPr>
        <w:spacing w:before="60" w:after="60"/>
      </w:pPr>
      <w:r>
        <w:t xml:space="preserve"/>
      </w:r>
    </w:p>
    <w:p>
      <w:pPr>
        <w:spacing w:before="80" w:after="120"/>
        <w:jc w:val="both"/>
      </w:pPr>
      <w:r>
        <w:rPr>
          <w:rFonts w:ascii="Arial" w:cs="Arial" w:eastAsia="Arial" w:hAnsi="Arial"/>
          <w:b/>
          <w:bCs/>
          <w:sz w:val="22"/>
          <w:szCs w:val="22"/>
        </w:rPr>
        <w:t xml:space="preserve">Census division (cendiv_encoded): </w:t>
      </w:r>
      <w:r>
        <w:rPr>
          <w:rFonts w:ascii="Arial" w:cs="Arial" w:eastAsia="Arial" w:hAnsi="Arial"/>
          <w:sz w:val="22"/>
          <w:szCs w:val="22"/>
        </w:rPr>
        <w:t xml:space="preserve">US census divisions have no meaningful equivalent in the African context. Rather than attempt a mapping, the team correctly chose to use this feature only for climate adjustment (via the city-level post-processing factor) and not as a direct model feature. This is the right approach. The risk is that the CENDIV feature's coefficient in the trained model may carry unintended climate-related signal that the post-processing factor then double-counts. This interaction should be tested.</w:t>
      </w:r>
    </w:p>
    <w:p>
      <w:pPr>
        <w:spacing w:before="60" w:after="60"/>
      </w:pPr>
      <w:r>
        <w:t xml:space="preserve"/>
      </w:r>
    </w:p>
    <w:p>
      <w:pPr>
        <w:spacing w:before="80" w:after="120"/>
        <w:jc w:val="both"/>
      </w:pPr>
      <w:r>
        <w:rPr>
          <w:rFonts w:ascii="Arial" w:cs="Arial" w:eastAsia="Arial" w:hAnsi="Arial"/>
          <w:b/>
          <w:bCs/>
          <w:sz w:val="22"/>
          <w:szCs w:val="22"/>
        </w:rPr>
        <w:t xml:space="preserve">Construction year (YRCONC = 5): </w:t>
      </w:r>
      <w:r>
        <w:rPr>
          <w:rFonts w:ascii="Arial" w:cs="Arial" w:eastAsia="Arial" w:hAnsi="Arial"/>
          <w:sz w:val="22"/>
          <w:szCs w:val="22"/>
        </w:rPr>
        <w:t xml:space="preserve">The hardcoded moderate construction age assumption is pragmatic but unvalidated. African SME premises span a very wide range of construction ages and qualities, from newly built structures with insulated walls to decades-old buildings with minimal envelope insulation. The insulation quality gap between a well-built 2018 US food retail building and a 1990s-era African masonry-wall butchery is likely to be significant, and could mean the model underestimates consumption for older, poorly insulated premises.</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3. African-Specific Architectural Adaptations</w:t>
      </w:r>
    </w:p>
    <w:p>
      <w:pPr>
        <w:pStyle w:val="Heading2"/>
        <w:spacing w:before="280" w:after="140"/>
      </w:pPr>
      <w:r>
        <w:rPr>
          <w:rFonts w:ascii="Arial" w:cs="Arial" w:eastAsia="Arial" w:hAnsi="Arial"/>
          <w:b/>
          <w:bCs/>
          <w:color w:val="1A5276"/>
          <w:sz w:val="26"/>
          <w:szCs w:val="26"/>
        </w:rPr>
        <w:t xml:space="preserve">3.1 Single-Floor Assumption</w:t>
      </w:r>
    </w:p>
    <w:p>
      <w:pPr>
        <w:spacing w:before="80" w:after="120"/>
        <w:jc w:val="both"/>
      </w:pPr>
      <w:r>
        <w:rPr>
          <w:rFonts w:ascii="Arial" w:cs="Arial" w:eastAsia="Arial" w:hAnsi="Arial"/>
          <w:sz w:val="22"/>
          <w:szCs w:val="22"/>
        </w:rPr>
        <w:t xml:space="preserve">African food retail SMEs—butcheries, grocery stores, and mini-supermarkets operating in urban and peri-urban areas—are overwhelmingly single-floor operations. Multi-storey commercial food retail is rare at the SME scale in Sub-Saharan Africa. The NFLOOR = 1 hardcoded assumption is therefore highly representative of the deployment context and introduces minimal distortion.</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3.2 Refrigeration Share Enforcement (50–70%)</w:t>
      </w:r>
    </w:p>
    <w:p>
      <w:pPr>
        <w:spacing w:before="80" w:after="120"/>
        <w:jc w:val="both"/>
      </w:pPr>
      <w:r>
        <w:rPr>
          <w:rFonts w:ascii="Arial" w:cs="Arial" w:eastAsia="Arial" w:hAnsi="Arial"/>
          <w:sz w:val="22"/>
          <w:szCs w:val="22"/>
        </w:rPr>
        <w:t xml:space="preserve">The model enforces that the refrigeration breakdown accounts for 50–70% of total monthly energy consumption. This range is adapted from the literature and reflects the energy dominance of refrigeration in food retail SMEs in hot climates. US CBECS food retail buildings show refrigeration contributing approximately 40–60% of electricity consumption. The African adaptation shifts this range upward (50–70%) for two reasons: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Space cooling (HVAC) contributes a smaller share in African SMEs than in US buildings, because many African SMEs use minimal mechanical air conditioning, relying instead on natural ventilation or simple fans.</w:t>
      </w:r>
    </w:p>
    <w:p>
      <w:pPr>
        <w:pStyle w:val="ListParagraph"/>
        <w:numPr>
          <w:ilvl w:val="0"/>
          <w:numId w:val="2"/>
        </w:numPr>
        <w:spacing w:before="60" w:after="60"/>
      </w:pPr>
      <w:r>
        <w:rPr>
          <w:rFonts w:ascii="Arial" w:cs="Arial" w:eastAsia="Arial" w:hAnsi="Arial"/>
          <w:sz w:val="22"/>
          <w:szCs w:val="22"/>
        </w:rPr>
        <w:t xml:space="preserve">Refrigeration energy penalty from climate is proportionally larger in tropical climates, as documented in the climate adjustment justification (see companion document), meaning refrigeration's share of total consumption rises even if absolute HVAC load stays similar.</w:t>
      </w:r>
    </w:p>
    <w:p>
      <w:pPr>
        <w:spacing w:before="60" w:after="60"/>
      </w:pPr>
      <w:r>
        <w:t xml:space="preserve"/>
      </w:r>
    </w:p>
    <w:p>
      <w:pPr>
        <w:spacing w:before="80" w:after="120"/>
        <w:jc w:val="both"/>
      </w:pPr>
      <w:r>
        <w:rPr>
          <w:rFonts w:ascii="Arial" w:cs="Arial" w:eastAsia="Arial" w:hAnsi="Arial"/>
          <w:sz w:val="22"/>
          <w:szCs w:val="22"/>
        </w:rPr>
        <w:t xml:space="preserve">The 50–70% range is a heuristic. It should be validated against empirical data from African SMEs when available.</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3.3 Climate Adjustment Post-Processing</w:t>
      </w:r>
    </w:p>
    <w:p>
      <w:pPr>
        <w:spacing w:before="80" w:after="120"/>
        <w:jc w:val="both"/>
      </w:pPr>
      <w:r>
        <w:rPr>
          <w:rFonts w:ascii="Arial" w:cs="Arial" w:eastAsia="Arial" w:hAnsi="Arial"/>
          <w:sz w:val="22"/>
          <w:szCs w:val="22"/>
        </w:rPr>
        <w:t xml:space="preserve">Rather than embedding climate as a training feature—which would require African climate data to be present in the training set—the model applies a post-processing multiplicative factor after the base prediction is generated. This is architecturally sound because it keeps the core ML model's domain (US commercial buildings) intact while allowing explicit, interpretable, and independently auditable climate correction.</w:t>
      </w:r>
    </w:p>
    <w:p>
      <w:pPr>
        <w:spacing w:before="60" w:after="60"/>
      </w:pPr>
      <w:r>
        <w:t xml:space="preserve"/>
      </w:r>
    </w:p>
    <w:p>
      <w:pPr>
        <w:spacing w:before="80" w:after="120"/>
        <w:jc w:val="both"/>
      </w:pPr>
      <w:r>
        <w:rPr>
          <w:rFonts w:ascii="Arial" w:cs="Arial" w:eastAsia="Arial" w:hAnsi="Arial"/>
          <w:sz w:val="22"/>
          <w:szCs w:val="22"/>
        </w:rPr>
        <w:t xml:space="preserve">The alternative—training directly on African data with climate features embedded—is not currently possible due to the data gap described in Section 1. The post-processing approach is therefore the correct engineering choice for the MVP.</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4. Model Performance in Context</w:t>
      </w:r>
    </w:p>
    <w:p>
      <w:pPr>
        <w:pStyle w:val="Heading2"/>
        <w:spacing w:before="280" w:after="140"/>
      </w:pPr>
      <w:r>
        <w:rPr>
          <w:rFonts w:ascii="Arial" w:cs="Arial" w:eastAsia="Arial" w:hAnsi="Arial"/>
          <w:b/>
          <w:bCs/>
          <w:color w:val="1A5276"/>
          <w:sz w:val="26"/>
          <w:szCs w:val="26"/>
        </w:rPr>
        <w:t xml:space="preserve">4.1 Reported Metrics and Their Interpretation</w:t>
      </w:r>
    </w:p>
    <w:p>
      <w:pPr>
        <w:spacing w:before="80" w:after="120"/>
        <w:jc w:val="both"/>
      </w:pPr>
      <w:r>
        <w:rPr>
          <w:rFonts w:ascii="Arial" w:cs="Arial" w:eastAsia="Arial" w:hAnsi="Arial"/>
          <w:sz w:val="22"/>
          <w:szCs w:val="22"/>
        </w:rPr>
        <w:t xml:space="preserve">The Model 1 Gradient Boosting Regressor reports the following performance metrics on the held-out CBECS test set:</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360"/>
      </w:tblGrid>
      <w:tr>
        <w:trPr>
          <w:tblHeader/>
        </w:trPr>
        <w:tc>
          <w:tcPr>
            <w:tcW w:type="dxa" w:w="15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5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Test R² Score</w:t>
            </w:r>
          </w:p>
        </w:tc>
        <w:tc>
          <w:tcPr>
            <w:tcW w:type="dxa" w:w="15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0.9830</w:t>
            </w:r>
          </w:p>
        </w:tc>
        <w:tc>
          <w:tcPr>
            <w:tcW w:type="dxa" w:w="53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Explains 98.3% of variance in annual energy consumption on CBECS test data. High in-distribution performance.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MAPE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prediction error of ~14.5% on CBECS test buildings. Within the ±20% target error margin.</w:t>
            </w:r>
          </w:p>
        </w:tc>
      </w:tr>
      <w:tr>
        <w:tc>
          <w:tcPr>
            <w:tcW w:type="dxa" w:w="15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Cross-validation R²</w:t>
            </w:r>
          </w:p>
        </w:tc>
        <w:tc>
          <w:tcPr>
            <w:tcW w:type="dxa" w:w="15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0.8683 ± 0.1255</w:t>
            </w:r>
          </w:p>
        </w:tc>
        <w:tc>
          <w:tcPr>
            <w:tcW w:type="dxa" w:w="53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CV mean is acceptable; high standard deviation (0.1255) indicates moderate variance across folds.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error margin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 MVP threshold. Both test MAPE and CV results are within this tolerance.</w:t>
            </w:r>
          </w:p>
        </w:tc>
      </w:tr>
    </w:tbl>
    <w:p>
      <w:pPr>
        <w:spacing w:before="60" w:after="60"/>
      </w:pPr>
      <w:r>
        <w:t xml:space="preserve"/>
      </w:r>
    </w:p>
    <w:p>
      <w:pPr>
        <w:spacing w:before="80" w:after="120"/>
        <w:jc w:val="both"/>
      </w:pPr>
      <w:r>
        <w:rPr>
          <w:rFonts w:ascii="Arial" w:cs="Arial" w:eastAsia="Arial" w:hAnsi="Arial"/>
          <w:b/>
          <w:bCs/>
          <w:sz w:val="22"/>
          <w:szCs w:val="22"/>
        </w:rPr>
        <w:t xml:space="preserve">Critical caveat: </w:t>
      </w:r>
      <w:r>
        <w:rPr>
          <w:rFonts w:ascii="Arial" w:cs="Arial" w:eastAsia="Arial" w:hAnsi="Arial"/>
          <w:sz w:val="22"/>
          <w:szCs w:val="22"/>
        </w:rPr>
        <w:t xml:space="preserve">All performance metrics are measured on the CBECS test set—US buildings in a US climate. They do not directly measure performance on African SMEs. The effective out-of-distribution MAPE on African SME data is unknown, though the ±20% margin and the post-processing climate adjustment are designed to accommodate the additional uncertainty introduced by the domain shift.</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4.2 Domain Shift Uncertainty</w:t>
      </w:r>
    </w:p>
    <w:p>
      <w:pPr>
        <w:spacing w:before="80" w:after="120"/>
        <w:jc w:val="both"/>
      </w:pPr>
      <w:r>
        <w:rPr>
          <w:rFonts w:ascii="Arial" w:cs="Arial" w:eastAsia="Arial" w:hAnsi="Arial"/>
          <w:sz w:val="22"/>
          <w:szCs w:val="22"/>
        </w:rPr>
        <w:t xml:space="preserve">The gap between the 14.52% MAPE on CBECS and the expected performance on African SMEs is driven by the following factors, approximately ranked by magnitude:</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Climate mismatch (dominant): </w:t>
      </w:r>
      <w:r>
        <w:rPr>
          <w:rFonts w:ascii="Arial" w:cs="Arial" w:eastAsia="Arial" w:hAnsi="Arial"/>
          <w:sz w:val="22"/>
          <w:szCs w:val="22"/>
        </w:rPr>
        <w:t xml:space="preserve">The systematic difference between US temperate and African tropical climates is the largest source of potential bias. This is addressed by the climate adjustment factor but not fully corrected.</w:t>
      </w:r>
    </w:p>
    <w:p>
      <w:pPr>
        <w:pStyle w:val="ListParagraph"/>
        <w:numPr>
          <w:ilvl w:val="0"/>
          <w:numId w:val="2"/>
        </w:numPr>
        <w:spacing w:before="60" w:after="60"/>
      </w:pPr>
      <w:r>
        <w:rPr>
          <w:rFonts w:ascii="Arial" w:cs="Arial" w:eastAsia="Arial" w:hAnsi="Arial"/>
          <w:b/>
          <w:bCs/>
          <w:sz w:val="22"/>
          <w:szCs w:val="22"/>
        </w:rPr>
        <w:t xml:space="preserve">Equipment efficiency mismatch (high): </w:t>
      </w:r>
      <w:r>
        <w:rPr>
          <w:rFonts w:ascii="Arial" w:cs="Arial" w:eastAsia="Arial" w:hAnsi="Arial"/>
          <w:sz w:val="22"/>
          <w:szCs w:val="22"/>
        </w:rPr>
        <w:t xml:space="preserve">Older, less efficient African refrigeration equipment will consume more energy per unit of cooling than the US equipment reflected in CBECS. This effect is not currently captured.</w:t>
      </w:r>
    </w:p>
    <w:p>
      <w:pPr>
        <w:pStyle w:val="ListParagraph"/>
        <w:numPr>
          <w:ilvl w:val="0"/>
          <w:numId w:val="2"/>
        </w:numPr>
        <w:spacing w:before="60" w:after="60"/>
      </w:pPr>
      <w:r>
        <w:rPr>
          <w:rFonts w:ascii="Arial" w:cs="Arial" w:eastAsia="Arial" w:hAnsi="Arial"/>
          <w:b/>
          <w:bCs/>
          <w:sz w:val="22"/>
          <w:szCs w:val="22"/>
        </w:rPr>
        <w:t xml:space="preserve">Business type mapping uncertainty (moderate): </w:t>
      </w:r>
      <w:r>
        <w:rPr>
          <w:rFonts w:ascii="Arial" w:cs="Arial" w:eastAsia="Arial" w:hAnsi="Arial"/>
          <w:sz w:val="22"/>
          <w:szCs w:val="22"/>
        </w:rPr>
        <w:t xml:space="preserve">The mapping of butchery/grocery/mini-supermarket to PBA 11/12 introduces conceptual uncertainty, particularly for butcheries.</w:t>
      </w:r>
    </w:p>
    <w:p>
      <w:pPr>
        <w:pStyle w:val="ListParagraph"/>
        <w:numPr>
          <w:ilvl w:val="0"/>
          <w:numId w:val="2"/>
        </w:numPr>
        <w:spacing w:before="60" w:after="60"/>
      </w:pPr>
      <w:r>
        <w:rPr>
          <w:rFonts w:ascii="Arial" w:cs="Arial" w:eastAsia="Arial" w:hAnsi="Arial"/>
          <w:b/>
          <w:bCs/>
          <w:sz w:val="22"/>
          <w:szCs w:val="22"/>
        </w:rPr>
        <w:t xml:space="preserve">Building size distribution shift (moderate): </w:t>
      </w:r>
      <w:r>
        <w:rPr>
          <w:rFonts w:ascii="Arial" w:cs="Arial" w:eastAsia="Arial" w:hAnsi="Arial"/>
          <w:sz w:val="22"/>
          <w:szCs w:val="22"/>
        </w:rPr>
        <w:t xml:space="preserve">African SMEs are typically smaller than CBECS food retail buildings, requiring extrapolation in the lower tail of the training distribution.</w:t>
      </w:r>
    </w:p>
    <w:p>
      <w:pPr>
        <w:pStyle w:val="ListParagraph"/>
        <w:numPr>
          <w:ilvl w:val="0"/>
          <w:numId w:val="2"/>
        </w:numPr>
        <w:spacing w:before="60" w:after="60"/>
      </w:pPr>
      <w:r>
        <w:rPr>
          <w:rFonts w:ascii="Arial" w:cs="Arial" w:eastAsia="Arial" w:hAnsi="Arial"/>
          <w:b/>
          <w:bCs/>
          <w:sz w:val="22"/>
          <w:szCs w:val="22"/>
        </w:rPr>
        <w:t xml:space="preserve">Grid reliability (variable): </w:t>
      </w:r>
      <w:r>
        <w:rPr>
          <w:rFonts w:ascii="Arial" w:cs="Arial" w:eastAsia="Arial" w:hAnsi="Arial"/>
          <w:sz w:val="22"/>
          <w:szCs w:val="22"/>
        </w:rPr>
        <w:t xml:space="preserve">Generator use, power cuts, and backup energy sources introduce consumption variability not captured in any model trained on grid consumption data.</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5. Feature Engineering Validation and Sensitivity</w:t>
      </w:r>
    </w:p>
    <w:p>
      <w:pPr>
        <w:spacing w:before="80" w:after="120"/>
        <w:jc w:val="both"/>
      </w:pPr>
      <w:r>
        <w:rPr>
          <w:rFonts w:ascii="Arial" w:cs="Arial" w:eastAsia="Arial" w:hAnsi="Arial"/>
          <w:sz w:val="22"/>
          <w:szCs w:val="22"/>
        </w:rPr>
        <w:t xml:space="preserve">The following engineered features warrant specific discussion regarding their African transferability:</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3160"/>
      </w:tblGrid>
      <w:tr>
        <w:trPr>
          <w:tblHeader/>
        </w:trPr>
        <w:tc>
          <w:tcPr>
            <w:tcW w:type="dxa" w:w="20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Transferability</w:t>
            </w:r>
          </w:p>
        </w:tc>
        <w:tc>
          <w:tcPr>
            <w:tcW w:type="dxa" w:w="220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Key Risk</w:t>
            </w:r>
          </w:p>
        </w:tc>
        <w:tc>
          <w:tcPr>
            <w:tcW w:type="dxa" w:w="3160"/>
            <w:tcBorders>
              <w:top w:val="single" w:color="2D6A3F" w:sz="1"/>
              <w:left w:val="single" w:color="2D6A3F" w:sz="1"/>
              <w:bottom w:val="single" w:color="2D6A3F" w:sz="1"/>
              <w:right w:val="single" w:color="2D6A3F" w:sz="1"/>
            </w:tcBorders>
            <w:shd w:fill="2D6A3F"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wkhrs_per_week_normalized</w:t>
            </w:r>
          </w:p>
        </w:tc>
        <w:tc>
          <w:tcPr>
            <w:tcW w:type="dxa" w:w="1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Operating hours pattern may differ (e.g., longer hours, 7-day operation)</w:t>
            </w:r>
          </w:p>
        </w:tc>
        <w:tc>
          <w:tcPr>
            <w:tcW w:type="dxa" w:w="3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Low risk; normalisation preserves relative 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annual_operating_hours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multiplicative of wkhrs × 52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African-specific risk</w:t>
            </w:r>
          </w:p>
        </w:tc>
      </w:tr>
      <w:tr>
        <w:tc>
          <w:tcPr>
            <w:tcW w:type="dxa" w:w="2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refrigeration_density (units/1000 sqft)</w:t>
            </w:r>
          </w:p>
        </w:tc>
        <w:tc>
          <w:tcPr>
            <w:tcW w:type="dxa" w:w="1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African SMEs may have higher refrigeration density than training distribution</w:t>
            </w:r>
          </w:p>
        </w:tc>
        <w:tc>
          <w:tcPr>
            <w:tcW w:type="dxa" w:w="3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Monitor boundary behaviour at high density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sqft_per_worker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African SME worker-to-space ratios may differ from US norms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collecting local data to validate default</w:t>
            </w:r>
          </w:p>
        </w:tc>
      </w:tr>
      <w:tr>
        <w:tc>
          <w:tcPr>
            <w:tcW w:type="dxa" w:w="2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is_high_refrigeration (binary)</w:t>
            </w:r>
          </w:p>
        </w:tc>
        <w:tc>
          <w:tcPr>
            <w:tcW w:type="dxa" w:w="1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Threshold is CBECS-median; may be low for African SMEs</w:t>
            </w:r>
          </w:p>
        </w:tc>
        <w:tc>
          <w:tcPr>
            <w:tcW w:type="dxa" w:w="3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Review threshold against African SME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size_category (small/med/large)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CBECS size boundaries may classify most African SMEs as 'small'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size distribution of deployed inputs</w:t>
            </w:r>
          </w:p>
        </w:tc>
      </w:tr>
      <w:tr>
        <w:tc>
          <w:tcPr>
            <w:tcW w:type="dxa" w:w="2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pba_encoded (business type)</w:t>
            </w:r>
          </w:p>
        </w:tc>
        <w:tc>
          <w:tcPr>
            <w:tcW w:type="dxa" w:w="10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Low–Medium</w:t>
            </w:r>
          </w:p>
        </w:tc>
        <w:tc>
          <w:tcPr>
            <w:tcW w:type="dxa" w:w="220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Butchery has no direct CBECS equivalent</w:t>
            </w:r>
          </w:p>
        </w:tc>
        <w:tc>
          <w:tcPr>
            <w:tcW w:type="dxa" w:w="3160"/>
            <w:tcBorders>
              <w:top w:val="single" w:color="CCCCCC" w:sz="1"/>
              <w:left w:val="single" w:color="CCCCCC" w:sz="1"/>
              <w:bottom w:val="single" w:color="CCCCCC" w:sz="1"/>
              <w:right w:val="single" w:color="CCCCCC" w:sz="1"/>
            </w:tcBorders>
            <w:shd w:fill="EBF5EC" w:val="clear"/>
            <w:tcMar>
              <w:top w:type="dxa" w:w="80"/>
              <w:left w:type="dxa" w:w="120"/>
              <w:bottom w:type="dxa" w:w="80"/>
              <w:right w:type="dxa" w:w="120"/>
            </w:tcMar>
          </w:tcPr>
          <w:p>
            <w:r>
              <w:rPr>
                <w:rFonts w:ascii="Arial" w:cs="Arial" w:eastAsia="Arial" w:hAnsi="Arial"/>
                <w:sz w:val="20"/>
                <w:szCs w:val="20"/>
              </w:rPr>
              <w:t xml:space="preserve">Collect African data to validate; consider adding butchery as a distinct class</w:t>
            </w:r>
          </w:p>
        </w:tc>
      </w:tr>
    </w:tbl>
    <w:p>
      <w:pPr>
        <w:spacing w:before="60" w:after="60"/>
      </w:pPr>
      <w:r>
        <w:t xml:space="preserve"/>
      </w:r>
    </w:p>
    <w:p>
      <w:pPr>
        <w:pStyle w:val="Heading1"/>
        <w:spacing w:before="360" w:after="180"/>
      </w:pPr>
      <w:r>
        <w:rPr>
          <w:rFonts w:ascii="Arial" w:cs="Arial" w:eastAsia="Arial" w:hAnsi="Arial"/>
          <w:b/>
          <w:bCs/>
          <w:color w:val="2D6A3F"/>
          <w:sz w:val="32"/>
          <w:szCs w:val="32"/>
        </w:rPr>
        <w:t xml:space="preserve">6. Consolidated Limitations</w:t>
      </w:r>
    </w:p>
    <w:p>
      <w:pPr>
        <w:spacing w:before="80" w:after="120"/>
        <w:jc w:val="both"/>
      </w:pPr>
      <w:r>
        <w:rPr>
          <w:rFonts w:ascii="Arial" w:cs="Arial" w:eastAsia="Arial" w:hAnsi="Arial"/>
          <w:sz w:val="22"/>
          <w:szCs w:val="22"/>
        </w:rPr>
        <w:t xml:space="preserve">The following is a structured summary of all known limitations, categorised by type:</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6.1 Data Limitations</w:t>
      </w:r>
    </w:p>
    <w:p>
      <w:pPr>
        <w:pStyle w:val="ListParagraph"/>
        <w:numPr>
          <w:ilvl w:val="0"/>
          <w:numId w:val="2"/>
        </w:numPr>
        <w:spacing w:before="60" w:after="60"/>
      </w:pPr>
      <w:r>
        <w:rPr>
          <w:rFonts w:ascii="Arial" w:cs="Arial" w:eastAsia="Arial" w:hAnsi="Arial"/>
          <w:sz w:val="22"/>
          <w:szCs w:val="22"/>
        </w:rPr>
        <w:t xml:space="preserve">Training data is entirely US-based with no African commercial building energy data.</w:t>
      </w:r>
    </w:p>
    <w:p>
      <w:pPr>
        <w:pStyle w:val="ListParagraph"/>
        <w:numPr>
          <w:ilvl w:val="0"/>
          <w:numId w:val="2"/>
        </w:numPr>
        <w:spacing w:before="60" w:after="60"/>
      </w:pPr>
      <w:r>
        <w:rPr>
          <w:rFonts w:ascii="Arial" w:cs="Arial" w:eastAsia="Arial" w:hAnsi="Arial"/>
          <w:sz w:val="22"/>
          <w:szCs w:val="22"/>
        </w:rPr>
        <w:t xml:space="preserve">CBECS food retail sample is relatively small (291 buildings total) for a Gradient Boosting model, increasing variance.</w:t>
      </w:r>
    </w:p>
    <w:p>
      <w:pPr>
        <w:pStyle w:val="ListParagraph"/>
        <w:numPr>
          <w:ilvl w:val="0"/>
          <w:numId w:val="2"/>
        </w:numPr>
        <w:spacing w:before="60" w:after="60"/>
      </w:pPr>
      <w:r>
        <w:rPr>
          <w:rFonts w:ascii="Arial" w:cs="Arial" w:eastAsia="Arial" w:hAnsi="Arial"/>
          <w:sz w:val="22"/>
          <w:szCs w:val="22"/>
        </w:rPr>
        <w:t xml:space="preserve">CBECS does not capture off-grid or generator energy consumption.</w:t>
      </w:r>
    </w:p>
    <w:p>
      <w:pPr>
        <w:pStyle w:val="ListParagraph"/>
        <w:numPr>
          <w:ilvl w:val="0"/>
          <w:numId w:val="2"/>
        </w:numPr>
        <w:spacing w:before="60" w:after="60"/>
      </w:pPr>
      <w:r>
        <w:rPr>
          <w:rFonts w:ascii="Arial" w:cs="Arial" w:eastAsia="Arial" w:hAnsi="Arial"/>
          <w:sz w:val="22"/>
          <w:szCs w:val="22"/>
        </w:rPr>
        <w:t xml:space="preserve">CBECS does not capture energy consumption patterns below the monthly level.</w:t>
      </w:r>
    </w:p>
    <w:p>
      <w:pPr>
        <w:pStyle w:val="ListParagraph"/>
        <w:numPr>
          <w:ilvl w:val="0"/>
          <w:numId w:val="2"/>
        </w:numPr>
        <w:spacing w:before="60" w:after="60"/>
      </w:pPr>
      <w:r>
        <w:rPr>
          <w:rFonts w:ascii="Arial" w:cs="Arial" w:eastAsia="Arial" w:hAnsi="Arial"/>
          <w:sz w:val="22"/>
          <w:szCs w:val="22"/>
        </w:rPr>
        <w:t xml:space="preserve">The 2018 CBECS snapshot reflects a single point in time; equipment efficiency continues to evolve.</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6.2 Model Limitations</w:t>
      </w:r>
    </w:p>
    <w:p>
      <w:pPr>
        <w:pStyle w:val="ListParagraph"/>
        <w:numPr>
          <w:ilvl w:val="0"/>
          <w:numId w:val="2"/>
        </w:numPr>
        <w:spacing w:before="60" w:after="60"/>
      </w:pPr>
      <w:r>
        <w:rPr>
          <w:rFonts w:ascii="Arial" w:cs="Arial" w:eastAsia="Arial" w:hAnsi="Arial"/>
          <w:sz w:val="22"/>
          <w:szCs w:val="22"/>
        </w:rPr>
        <w:t xml:space="preserve">The Gradient Boosting model is a black-box estimator; individual predictions are not interpretable beyond the feature importance ranking.</w:t>
      </w:r>
    </w:p>
    <w:p>
      <w:pPr>
        <w:pStyle w:val="ListParagraph"/>
        <w:numPr>
          <w:ilvl w:val="0"/>
          <w:numId w:val="2"/>
        </w:numPr>
        <w:spacing w:before="60" w:after="60"/>
      </w:pPr>
      <w:r>
        <w:rPr>
          <w:rFonts w:ascii="Arial" w:cs="Arial" w:eastAsia="Arial" w:hAnsi="Arial"/>
          <w:sz w:val="22"/>
          <w:szCs w:val="22"/>
        </w:rPr>
        <w:t xml:space="preserve">Log-transform of the target variable improves training stability but may compress errors at the high end of the consumption range.</w:t>
      </w:r>
    </w:p>
    <w:p>
      <w:pPr>
        <w:pStyle w:val="ListParagraph"/>
        <w:numPr>
          <w:ilvl w:val="0"/>
          <w:numId w:val="2"/>
        </w:numPr>
        <w:spacing w:before="60" w:after="60"/>
      </w:pPr>
      <w:r>
        <w:rPr>
          <w:rFonts w:ascii="Arial" w:cs="Arial" w:eastAsia="Arial" w:hAnsi="Arial"/>
          <w:sz w:val="22"/>
          <w:szCs w:val="22"/>
        </w:rPr>
        <w:t xml:space="preserve">Cross-validation R² standard deviation of 0.1255 indicates meaningful prediction variance across data folds.</w:t>
      </w:r>
    </w:p>
    <w:p>
      <w:pPr>
        <w:pStyle w:val="ListParagraph"/>
        <w:numPr>
          <w:ilvl w:val="0"/>
          <w:numId w:val="2"/>
        </w:numPr>
        <w:spacing w:before="60" w:after="60"/>
      </w:pPr>
      <w:r>
        <w:rPr>
          <w:rFonts w:ascii="Arial" w:cs="Arial" w:eastAsia="Arial" w:hAnsi="Arial"/>
          <w:sz w:val="22"/>
          <w:szCs w:val="22"/>
        </w:rPr>
        <w:t xml:space="preserve">The confidence score heuristic (0.75 or 0.85) is not statistically calibrated and should not be used as a formal uncertainty estimate.</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6.3 Adaptation Limitations</w:t>
      </w:r>
    </w:p>
    <w:p>
      <w:pPr>
        <w:pStyle w:val="ListParagraph"/>
        <w:numPr>
          <w:ilvl w:val="0"/>
          <w:numId w:val="2"/>
        </w:numPr>
        <w:spacing w:before="60" w:after="60"/>
      </w:pPr>
      <w:r>
        <w:rPr>
          <w:rFonts w:ascii="Arial" w:cs="Arial" w:eastAsia="Arial" w:hAnsi="Arial"/>
          <w:sz w:val="22"/>
          <w:szCs w:val="22"/>
        </w:rPr>
        <w:t xml:space="preserve">Climate adjustment factors are engineering estimates, not empirically calibrated constants (see companion document for full discussion).</w:t>
      </w:r>
    </w:p>
    <w:p>
      <w:pPr>
        <w:pStyle w:val="ListParagraph"/>
        <w:numPr>
          <w:ilvl w:val="0"/>
          <w:numId w:val="2"/>
        </w:numPr>
        <w:spacing w:before="60" w:after="60"/>
      </w:pPr>
      <w:r>
        <w:rPr>
          <w:rFonts w:ascii="Arial" w:cs="Arial" w:eastAsia="Arial" w:hAnsi="Arial"/>
          <w:sz w:val="22"/>
          <w:szCs w:val="22"/>
        </w:rPr>
        <w:t xml:space="preserve">Single-floor and moderate construction age hardcoded assumptions may not reflect the full diversity of African SME premises.</w:t>
      </w:r>
    </w:p>
    <w:p>
      <w:pPr>
        <w:pStyle w:val="ListParagraph"/>
        <w:numPr>
          <w:ilvl w:val="0"/>
          <w:numId w:val="2"/>
        </w:numPr>
        <w:spacing w:before="60" w:after="60"/>
      </w:pPr>
      <w:r>
        <w:rPr>
          <w:rFonts w:ascii="Arial" w:cs="Arial" w:eastAsia="Arial" w:hAnsi="Arial"/>
          <w:sz w:val="22"/>
          <w:szCs w:val="22"/>
        </w:rPr>
        <w:t xml:space="preserve">Refrigeration share enforcement (50–70%) is a heuristic; the true share will vary by business type, equipment age, and climate.</w:t>
      </w:r>
    </w:p>
    <w:p>
      <w:pPr>
        <w:pStyle w:val="ListParagraph"/>
        <w:numPr>
          <w:ilvl w:val="0"/>
          <w:numId w:val="2"/>
        </w:numPr>
        <w:spacing w:before="60" w:after="60"/>
      </w:pPr>
      <w:r>
        <w:rPr>
          <w:rFonts w:ascii="Arial" w:cs="Arial" w:eastAsia="Arial" w:hAnsi="Arial"/>
          <w:sz w:val="22"/>
          <w:szCs w:val="22"/>
        </w:rPr>
        <w:t xml:space="preserve">The model produces monthly estimates; it cannot capture intra-month or seasonal variation within a given month.</w:t>
      </w:r>
    </w:p>
    <w:p>
      <w:pPr>
        <w:pStyle w:val="ListParagraph"/>
        <w:numPr>
          <w:ilvl w:val="0"/>
          <w:numId w:val="2"/>
        </w:numPr>
        <w:spacing w:before="60" w:after="60"/>
      </w:pPr>
      <w:r>
        <w:rPr>
          <w:rFonts w:ascii="Arial" w:cs="Arial" w:eastAsia="Arial" w:hAnsi="Arial"/>
          <w:sz w:val="22"/>
          <w:szCs w:val="22"/>
        </w:rPr>
        <w:t xml:space="preserve">The model does not account for power outage frequency or generator supplementation.</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6.4 Deployment Limitations</w:t>
      </w:r>
    </w:p>
    <w:p>
      <w:pPr>
        <w:pStyle w:val="ListParagraph"/>
        <w:numPr>
          <w:ilvl w:val="0"/>
          <w:numId w:val="2"/>
        </w:numPr>
        <w:spacing w:before="60" w:after="60"/>
      </w:pPr>
      <w:r>
        <w:rPr>
          <w:rFonts w:ascii="Arial" w:cs="Arial" w:eastAsia="Arial" w:hAnsi="Arial"/>
          <w:sz w:val="22"/>
          <w:szCs w:val="22"/>
        </w:rPr>
        <w:t xml:space="preserve">The model is designed for butcheries, groceries, and mini-supermarkets only. It should not be applied to other business types.</w:t>
      </w:r>
    </w:p>
    <w:p>
      <w:pPr>
        <w:pStyle w:val="ListParagraph"/>
        <w:numPr>
          <w:ilvl w:val="0"/>
          <w:numId w:val="2"/>
        </w:numPr>
        <w:spacing w:before="60" w:after="60"/>
      </w:pPr>
      <w:r>
        <w:rPr>
          <w:rFonts w:ascii="Arial" w:cs="Arial" w:eastAsia="Arial" w:hAnsi="Arial"/>
          <w:sz w:val="22"/>
          <w:szCs w:val="22"/>
        </w:rPr>
        <w:t xml:space="preserve">Inputs outside the trained feature ranges (particularly very large sqft_m2 or very high refrigeration unit counts) will produce extrapolated predictions with unknown reliability.</w:t>
      </w:r>
    </w:p>
    <w:p>
      <w:pPr>
        <w:pStyle w:val="ListParagraph"/>
        <w:numPr>
          <w:ilvl w:val="0"/>
          <w:numId w:val="2"/>
        </w:numPr>
        <w:spacing w:before="60" w:after="60"/>
      </w:pPr>
      <w:r>
        <w:rPr>
          <w:rFonts w:ascii="Arial" w:cs="Arial" w:eastAsia="Arial" w:hAnsi="Arial"/>
          <w:sz w:val="22"/>
          <w:szCs w:val="22"/>
        </w:rPr>
        <w:t xml:space="preserve">The 1,000,000 kWh/month cap is a safety limit, not a physical validation.</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7. Future Work: Improving Generalisability</w:t>
      </w:r>
    </w:p>
    <w:p>
      <w:pPr>
        <w:spacing w:before="80" w:after="120"/>
        <w:jc w:val="both"/>
      </w:pPr>
      <w:r>
        <w:rPr>
          <w:rFonts w:ascii="Arial" w:cs="Arial" w:eastAsia="Arial" w:hAnsi="Arial"/>
          <w:sz w:val="22"/>
          <w:szCs w:val="22"/>
        </w:rPr>
        <w:t xml:space="preserve">The following research agenda, ordered by priority, would materially improve the model's generalisability to Sub-Saharan African SMEs:</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7.1 Priority 1: Primary African SME Data Collection</w:t>
      </w:r>
    </w:p>
    <w:p>
      <w:pPr>
        <w:spacing w:before="80" w:after="120"/>
        <w:jc w:val="both"/>
      </w:pPr>
      <w:r>
        <w:rPr>
          <w:rFonts w:ascii="Arial" w:cs="Arial" w:eastAsia="Arial" w:hAnsi="Arial"/>
          <w:sz w:val="22"/>
          <w:szCs w:val="22"/>
        </w:rPr>
        <w:t xml:space="preserve">This is the highest-impact action available. A structured data collection campaign targeting 50–100 food retail SMEs across at least 3 cities (Lagos, Nairobi, Accra) should be designed to collect:</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Monthly electricity consumption (ideally from utility bills or sub-metering).</w:t>
      </w:r>
    </w:p>
    <w:p>
      <w:pPr>
        <w:pStyle w:val="ListParagraph"/>
        <w:numPr>
          <w:ilvl w:val="0"/>
          <w:numId w:val="2"/>
        </w:numPr>
        <w:spacing w:before="60" w:after="60"/>
      </w:pPr>
      <w:r>
        <w:rPr>
          <w:rFonts w:ascii="Arial" w:cs="Arial" w:eastAsia="Arial" w:hAnsi="Arial"/>
          <w:sz w:val="22"/>
          <w:szCs w:val="22"/>
        </w:rPr>
        <w:t xml:space="preserve">Floor area, operating hours, refrigeration unit count and type.</w:t>
      </w:r>
    </w:p>
    <w:p>
      <w:pPr>
        <w:pStyle w:val="ListParagraph"/>
        <w:numPr>
          <w:ilvl w:val="0"/>
          <w:numId w:val="2"/>
        </w:numPr>
        <w:spacing w:before="60" w:after="60"/>
      </w:pPr>
      <w:r>
        <w:rPr>
          <w:rFonts w:ascii="Arial" w:cs="Arial" w:eastAsia="Arial" w:hAnsi="Arial"/>
          <w:sz w:val="22"/>
          <w:szCs w:val="22"/>
        </w:rPr>
        <w:t xml:space="preserve">Building age and construction type.</w:t>
      </w:r>
    </w:p>
    <w:p>
      <w:pPr>
        <w:pStyle w:val="ListParagraph"/>
        <w:numPr>
          <w:ilvl w:val="0"/>
          <w:numId w:val="2"/>
        </w:numPr>
        <w:spacing w:before="60" w:after="60"/>
      </w:pPr>
      <w:r>
        <w:rPr>
          <w:rFonts w:ascii="Arial" w:cs="Arial" w:eastAsia="Arial" w:hAnsi="Arial"/>
          <w:sz w:val="22"/>
          <w:szCs w:val="22"/>
        </w:rPr>
        <w:t xml:space="preserve">Worker count and seasonality of operations.</w:t>
      </w:r>
    </w:p>
    <w:p>
      <w:pPr>
        <w:pStyle w:val="ListParagraph"/>
        <w:numPr>
          <w:ilvl w:val="0"/>
          <w:numId w:val="2"/>
        </w:numPr>
        <w:spacing w:before="60" w:after="60"/>
      </w:pPr>
      <w:r>
        <w:rPr>
          <w:rFonts w:ascii="Arial" w:cs="Arial" w:eastAsia="Arial" w:hAnsi="Arial"/>
          <w:sz w:val="22"/>
          <w:szCs w:val="22"/>
        </w:rPr>
        <w:t xml:space="preserve">Generator use frequency and estimated fuel consumption.</w:t>
      </w:r>
    </w:p>
    <w:p>
      <w:pPr>
        <w:spacing w:before="60" w:after="60"/>
      </w:pPr>
      <w:r>
        <w:t xml:space="preserve"/>
      </w:r>
    </w:p>
    <w:p>
      <w:pPr>
        <w:spacing w:before="80" w:after="120"/>
        <w:jc w:val="both"/>
      </w:pPr>
      <w:r>
        <w:rPr>
          <w:rFonts w:ascii="Arial" w:cs="Arial" w:eastAsia="Arial" w:hAnsi="Arial"/>
          <w:sz w:val="22"/>
          <w:szCs w:val="22"/>
        </w:rPr>
        <w:t xml:space="preserve">Even a dataset of 50–100 buildings would allow direct evaluation of the CBECS-trained model's out-of-distribution error and could be used to fine-tune or recalibrate the model. Partnerships with African utility companies, solar providers, or microfinance institutions offering equipment loans would be natural pathways to access this data.</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7.2 Priority 2: Climate Feature Integration</w:t>
      </w:r>
    </w:p>
    <w:p>
      <w:pPr>
        <w:spacing w:before="80" w:after="120"/>
        <w:jc w:val="both"/>
      </w:pPr>
      <w:r>
        <w:rPr>
          <w:rFonts w:ascii="Arial" w:cs="Arial" w:eastAsia="Arial" w:hAnsi="Arial"/>
          <w:sz w:val="22"/>
          <w:szCs w:val="22"/>
        </w:rPr>
        <w:t xml:space="preserve">Rather than applying a static post-processing climate factor, the model could incorporate NASA POWER API data—already used in Model 2—to compute monthly Cooling Degree Hours (CDH) for any coordinate. CDH could be added as a training feature if African data becomes available, or used to replace the city-lookup heuristic with a continuous climate adjustment derived directly from meteorological data. This would make the model coordinate-aware rather than city-name-dependent and would extend coverage to locations outside the current city list.</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7.3 Priority 3: Equipment Efficiency Calibration</w:t>
      </w:r>
    </w:p>
    <w:p>
      <w:pPr>
        <w:spacing w:before="80" w:after="120"/>
        <w:jc w:val="both"/>
      </w:pPr>
      <w:r>
        <w:rPr>
          <w:rFonts w:ascii="Arial" w:cs="Arial" w:eastAsia="Arial" w:hAnsi="Arial"/>
          <w:sz w:val="22"/>
          <w:szCs w:val="22"/>
        </w:rPr>
        <w:t xml:space="preserve">Develop an equipment age and efficiency correction layer. Commercial refrigeration equipment efficiency (measured in kWh per unit per day) varies by a factor of 2–3x between 1990s-era and modern equipment. A simple lookup table or regression mapping equipment age to efficiency, applied as a further post-processing adjustment, would substantially reduce the equipment mismatch bias—without requiring a complete model retrain.</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7.4 Priority 4: African Business Type Taxonomy</w:t>
      </w:r>
    </w:p>
    <w:p>
      <w:pPr>
        <w:spacing w:before="80" w:after="120"/>
        <w:jc w:val="both"/>
      </w:pPr>
      <w:r>
        <w:rPr>
          <w:rFonts w:ascii="Arial" w:cs="Arial" w:eastAsia="Arial" w:hAnsi="Arial"/>
          <w:sz w:val="22"/>
          <w:szCs w:val="22"/>
        </w:rPr>
        <w:t xml:space="preserve">Commission a rapid survey of energy use patterns across butcheries, groceries, and mini-supermarkets in 2–3 cities to establish whether these business types have meaningfully different energy profiles from each other. If they do, the business_type feature mapping should be refined and the PBA code mapping revisited. If a dedicated African food retail energy dataset is collected (Priority 1), this analysis can be embedded in the retraining process.</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7.5 Priority 5: Seasonal and Sub-Monthly Resolution</w:t>
      </w:r>
    </w:p>
    <w:p>
      <w:pPr>
        <w:spacing w:before="80" w:after="120"/>
        <w:jc w:val="both"/>
      </w:pPr>
      <w:r>
        <w:rPr>
          <w:rFonts w:ascii="Arial" w:cs="Arial" w:eastAsia="Arial" w:hAnsi="Arial"/>
          <w:sz w:val="22"/>
          <w:szCs w:val="22"/>
        </w:rPr>
        <w:t xml:space="preserve">Monthly estimates mask significant intra-month variation in refrigeration energy, particularly in cities with distinct wet and dry seasons. A future model version could produce separate estimates for dry season and rainy season months, or parameterise by month number to capture this variation. Model 2 (solar generation) already operates at monthly granularity with dry/wet season flags; a similar approach in Model 1 would improve the pipeline's internal consistency.</w:t>
      </w:r>
    </w:p>
    <w:p>
      <w:pPr>
        <w:spacing w:before="60" w:after="60"/>
      </w:pPr>
      <w:r>
        <w:t xml:space="preserve"/>
      </w:r>
    </w:p>
    <w:p>
      <w:pPr>
        <w:pStyle w:val="Heading2"/>
        <w:spacing w:before="280" w:after="140"/>
      </w:pPr>
      <w:r>
        <w:rPr>
          <w:rFonts w:ascii="Arial" w:cs="Arial" w:eastAsia="Arial" w:hAnsi="Arial"/>
          <w:b/>
          <w:bCs/>
          <w:color w:val="1A5276"/>
          <w:sz w:val="26"/>
          <w:szCs w:val="26"/>
        </w:rPr>
        <w:t xml:space="preserve">7.6 Priority 6: Explainability Layer</w:t>
      </w:r>
    </w:p>
    <w:p>
      <w:pPr>
        <w:spacing w:before="80" w:after="120"/>
        <w:jc w:val="both"/>
      </w:pPr>
      <w:r>
        <w:rPr>
          <w:rFonts w:ascii="Arial" w:cs="Arial" w:eastAsia="Arial" w:hAnsi="Arial"/>
          <w:sz w:val="22"/>
          <w:szCs w:val="22"/>
        </w:rPr>
        <w:t xml:space="preserve">The current Gradient Boosting model is a black-box. Implementing SHAP (SHapley Additive exPlanations) values for each prediction would allow the API to return a feature-level breakdown of why a particular consumption estimate was produced. This would support user trust, facilitate debugging of unusual predictions, and provide evidence for model validation.</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8. Conclusion</w:t>
      </w:r>
    </w:p>
    <w:p>
      <w:pPr>
        <w:spacing w:before="80" w:after="120"/>
        <w:jc w:val="both"/>
      </w:pPr>
      <w:r>
        <w:rPr>
          <w:rFonts w:ascii="Arial" w:cs="Arial" w:eastAsia="Arial" w:hAnsi="Arial"/>
          <w:sz w:val="22"/>
          <w:szCs w:val="22"/>
        </w:rPr>
        <w:t xml:space="preserve">The CBECS-to-Africa adaptation methodology represents a principled engineering response to a genuine data scarcity problem. By selecting the most relevant available dataset (CBECS 2018, food retail PBA codes), mapping physically meaningful features across the geographic domain shift, hardcoding context-specific architectural assumptions, and applying an independently auditable climate adjustment factor, the team has produced a model that is fit for the MVP purpose of solar viability screening with a ±20% error tolerance.</w:t>
      </w:r>
    </w:p>
    <w:p>
      <w:pPr>
        <w:spacing w:before="60" w:after="60"/>
      </w:pPr>
      <w:r>
        <w:t xml:space="preserve"/>
      </w:r>
    </w:p>
    <w:p>
      <w:pPr>
        <w:spacing w:before="80" w:after="120"/>
        <w:jc w:val="both"/>
      </w:pPr>
      <w:r>
        <w:rPr>
          <w:rFonts w:ascii="Arial" w:cs="Arial" w:eastAsia="Arial" w:hAnsi="Arial"/>
          <w:sz w:val="22"/>
          <w:szCs w:val="22"/>
        </w:rPr>
        <w:t xml:space="preserve">The methodology's primary weaknesses are the absence of African ground-truth data for validation and the equipment efficiency mismatch between CBECS buildings and African SME premises. Both are addressable through targeted data collection and additional post-processing layers, as described in the future work agenda above.</w:t>
      </w:r>
    </w:p>
    <w:p>
      <w:pPr>
        <w:spacing w:before="60" w:after="60"/>
      </w:pPr>
      <w:r>
        <w:t xml:space="preserve"/>
      </w:r>
    </w:p>
    <w:p>
      <w:pPr>
        <w:spacing w:before="80" w:after="120"/>
        <w:jc w:val="both"/>
      </w:pPr>
      <w:r>
        <w:rPr>
          <w:rFonts w:ascii="Arial" w:cs="Arial" w:eastAsia="Arial" w:hAnsi="Arial"/>
          <w:sz w:val="22"/>
          <w:szCs w:val="22"/>
        </w:rPr>
        <w:t xml:space="preserve">This document should be reviewed and updated when: (a) African SME energy data becomes available; (b) the climate adjustment factors are revised; or (c) a new model version is trained. It is intended to serve as the authoritative internal reference for the CBECS adaptation decisions made in Model 1 v1.0.</w:t>
      </w:r>
    </w:p>
    <w:p>
      <w:pPr>
        <w:spacing w:before="60" w:after="60"/>
      </w:pPr>
      <w:r>
        <w:t xml:space="preserve"/>
      </w:r>
    </w:p>
    <w:p>
      <w:pPr>
        <w:pStyle w:val="Heading1"/>
        <w:spacing w:before="360" w:after="180"/>
      </w:pPr>
      <w:r>
        <w:rPr>
          <w:rFonts w:ascii="Arial" w:cs="Arial" w:eastAsia="Arial" w:hAnsi="Arial"/>
          <w:b/>
          <w:bCs/>
          <w:color w:val="2D6A3F"/>
          <w:sz w:val="32"/>
          <w:szCs w:val="32"/>
        </w:rPr>
        <w:t xml:space="preserve">References</w:t>
      </w:r>
    </w:p>
    <w:p>
      <w:pPr>
        <w:spacing w:before="60" w:after="60"/>
      </w:pPr>
      <w:r>
        <w:t xml:space="preserve"/>
      </w:r>
    </w:p>
    <w:p>
      <w:pPr>
        <w:spacing w:before="80" w:after="120"/>
        <w:jc w:val="both"/>
      </w:pPr>
      <w:r>
        <w:rPr>
          <w:rFonts w:ascii="Arial" w:cs="Arial" w:eastAsia="Arial" w:hAnsi="Arial"/>
          <w:b/>
          <w:bCs/>
          <w:sz w:val="22"/>
          <w:szCs w:val="22"/>
        </w:rPr>
        <w:t xml:space="preserve">EIA (2023). </w:t>
      </w:r>
      <w:r>
        <w:rPr>
          <w:rFonts w:ascii="Arial" w:cs="Arial" w:eastAsia="Arial" w:hAnsi="Arial"/>
          <w:sz w:val="22"/>
          <w:szCs w:val="22"/>
        </w:rPr>
        <w:t xml:space="preserve">2018 Commercial Buildings Energy Consumption Survey (CBECS). US Energy Information Administration. Available: eia.gov/consumption/commercial</w:t>
      </w:r>
    </w:p>
    <w:p>
      <w:pPr>
        <w:spacing w:before="60" w:after="60"/>
      </w:pPr>
      <w:r>
        <w:t xml:space="preserve"/>
      </w:r>
    </w:p>
    <w:p>
      <w:pPr>
        <w:spacing w:before="80" w:after="120"/>
        <w:jc w:val="both"/>
      </w:pPr>
      <w:r>
        <w:rPr>
          <w:rFonts w:ascii="Arial" w:cs="Arial" w:eastAsia="Arial" w:hAnsi="Arial"/>
          <w:b/>
          <w:bCs/>
          <w:sz w:val="22"/>
          <w:szCs w:val="22"/>
        </w:rPr>
        <w:t xml:space="preserve">EIA (2023). </w:t>
      </w:r>
      <w:r>
        <w:rPr>
          <w:rFonts w:ascii="Arial" w:cs="Arial" w:eastAsia="Arial" w:hAnsi="Arial"/>
          <w:sz w:val="22"/>
          <w:szCs w:val="22"/>
        </w:rPr>
        <w:t xml:space="preserve">Guide to the 2018 CBECS Tables. US Energy Information Administration. Available: eia.gov/consumption/commercial/data/2018/guide.php</w:t>
      </w:r>
    </w:p>
    <w:p>
      <w:pPr>
        <w:spacing w:before="60" w:after="60"/>
      </w:pPr>
      <w:r>
        <w:t xml:space="preserve"/>
      </w:r>
    </w:p>
    <w:p>
      <w:pPr>
        <w:spacing w:before="80" w:after="120"/>
        <w:jc w:val="both"/>
      </w:pPr>
      <w:r>
        <w:rPr>
          <w:rFonts w:ascii="Arial" w:cs="Arial" w:eastAsia="Arial" w:hAnsi="Arial"/>
          <w:b/>
          <w:bCs/>
          <w:sz w:val="22"/>
          <w:szCs w:val="22"/>
        </w:rPr>
        <w:t xml:space="preserve">ACEEE (2002). </w:t>
      </w:r>
      <w:r>
        <w:rPr>
          <w:rFonts w:ascii="Arial" w:cs="Arial" w:eastAsia="Arial" w:hAnsi="Arial"/>
          <w:sz w:val="22"/>
          <w:szCs w:val="22"/>
        </w:rPr>
        <w:t xml:space="preserve">EIA's Commercial Buildings Energy Consumption Survey: An Overview of Methodology. American Council for an Energy-Efficient Economy.</w:t>
      </w:r>
    </w:p>
    <w:p>
      <w:pPr>
        <w:spacing w:before="60" w:after="60"/>
      </w:pPr>
      <w:r>
        <w:t xml:space="preserve"/>
      </w:r>
    </w:p>
    <w:p>
      <w:pPr>
        <w:spacing w:before="80" w:after="120"/>
        <w:jc w:val="both"/>
      </w:pPr>
      <w:r>
        <w:rPr>
          <w:rFonts w:ascii="Arial" w:cs="Arial" w:eastAsia="Arial" w:hAnsi="Arial"/>
          <w:b/>
          <w:bCs/>
          <w:sz w:val="22"/>
          <w:szCs w:val="22"/>
        </w:rPr>
        <w:t xml:space="preserve">IRENA / FAO (2021). </w:t>
      </w:r>
      <w:r>
        <w:rPr>
          <w:rFonts w:ascii="Arial" w:cs="Arial" w:eastAsia="Arial" w:hAnsi="Arial"/>
          <w:sz w:val="22"/>
          <w:szCs w:val="22"/>
        </w:rPr>
        <w:t xml:space="preserve">Renewable Energy for Agri-Food Systems. International Renewable Energy Agency.</w:t>
      </w:r>
    </w:p>
    <w:p>
      <w:pPr>
        <w:spacing w:before="60" w:after="60"/>
      </w:pPr>
      <w:r>
        <w:t xml:space="preserve"/>
      </w:r>
    </w:p>
    <w:p>
      <w:pPr>
        <w:spacing w:before="80" w:after="120"/>
        <w:jc w:val="both"/>
      </w:pPr>
      <w:r>
        <w:rPr>
          <w:rFonts w:ascii="Arial" w:cs="Arial" w:eastAsia="Arial" w:hAnsi="Arial"/>
          <w:b/>
          <w:bCs/>
          <w:sz w:val="22"/>
          <w:szCs w:val="22"/>
        </w:rPr>
        <w:t xml:space="preserve">IRENA / IEA / REN21 (2020). </w:t>
      </w:r>
      <w:r>
        <w:rPr>
          <w:rFonts w:ascii="Arial" w:cs="Arial" w:eastAsia="Arial" w:hAnsi="Arial"/>
          <w:sz w:val="22"/>
          <w:szCs w:val="22"/>
        </w:rPr>
        <w:t xml:space="preserve">Renewable Energy Policies in a Time of Transition: Heating and Cooling. International Renewable Energy Agency.</w:t>
      </w:r>
    </w:p>
    <w:p>
      <w:pPr>
        <w:spacing w:before="60" w:after="60"/>
      </w:pPr>
      <w:r>
        <w:t xml:space="preserve"/>
      </w:r>
    </w:p>
    <w:p>
      <w:pPr>
        <w:spacing w:before="80" w:after="120"/>
        <w:jc w:val="both"/>
      </w:pPr>
      <w:r>
        <w:rPr>
          <w:rFonts w:ascii="Arial" w:cs="Arial" w:eastAsia="Arial" w:hAnsi="Arial"/>
          <w:b/>
          <w:bCs/>
          <w:sz w:val="22"/>
          <w:szCs w:val="22"/>
        </w:rPr>
        <w:t xml:space="preserve">CLASP / SEforALL (2023). </w:t>
      </w:r>
      <w:r>
        <w:rPr>
          <w:rFonts w:ascii="Arial" w:cs="Arial" w:eastAsia="Arial" w:hAnsi="Arial"/>
          <w:sz w:val="22"/>
          <w:szCs w:val="22"/>
        </w:rPr>
        <w:t xml:space="preserve">Kenya Launches First National Cooling Action Plan.</w:t>
      </w:r>
    </w:p>
    <w:p>
      <w:pPr>
        <w:spacing w:before="60" w:after="60"/>
      </w:pPr>
      <w:r>
        <w:t xml:space="preserve"/>
      </w:r>
    </w:p>
    <w:p>
      <w:pPr>
        <w:spacing w:before="80" w:after="120"/>
        <w:jc w:val="both"/>
      </w:pPr>
      <w:r>
        <w:rPr>
          <w:rFonts w:ascii="Arial" w:cs="Arial" w:eastAsia="Arial" w:hAnsi="Arial"/>
          <w:b/>
          <w:bCs/>
          <w:sz w:val="22"/>
          <w:szCs w:val="22"/>
        </w:rPr>
        <w:t xml:space="preserve">Star Refrigeration (2025). </w:t>
      </w:r>
      <w:r>
        <w:rPr>
          <w:rFonts w:ascii="Arial" w:cs="Arial" w:eastAsia="Arial" w:hAnsi="Arial"/>
          <w:sz w:val="22"/>
          <w:szCs w:val="22"/>
        </w:rPr>
        <w:t xml:space="preserve">Coping with high ambient temperatures: Strategies for refrigeration plant owners.</w:t>
      </w:r>
    </w:p>
    <w:p>
      <w:pPr>
        <w:spacing w:before="60" w:after="60"/>
      </w:pPr>
      <w:r>
        <w:t xml:space="preserve"/>
      </w:r>
    </w:p>
    <w:p>
      <w:pPr>
        <w:spacing w:before="80" w:after="120"/>
        <w:jc w:val="both"/>
      </w:pPr>
      <w:r>
        <w:rPr>
          <w:rFonts w:ascii="Arial" w:cs="Arial" w:eastAsia="Arial" w:hAnsi="Arial"/>
          <w:b/>
          <w:bCs/>
          <w:sz w:val="22"/>
          <w:szCs w:val="22"/>
        </w:rPr>
        <w:t xml:space="preserve">SolarSense DSE Team (2026). </w:t>
      </w:r>
      <w:r>
        <w:rPr>
          <w:rFonts w:ascii="Arial" w:cs="Arial" w:eastAsia="Arial" w:hAnsi="Arial"/>
          <w:sz w:val="22"/>
          <w:szCs w:val="22"/>
        </w:rPr>
        <w:t xml:space="preserve">Scientific Basis for Climate Adjustment Factors: Model 1 – Energy Consumption Prediction. Internal Technical Document v1.0. [Companion document to this write-up]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3F" w:sz="4" w:space="1"/>
      </w:pBdr>
    </w:pPr>
    <w:r>
      <w:rPr>
        <w:rFonts w:ascii="Arial" w:cs="Arial" w:eastAsia="Arial" w:hAnsi="Arial"/>
        <w:color w:val="888888"/>
        <w:sz w:val="18"/>
        <w:szCs w:val="18"/>
      </w:rPr>
      <w:t xml:space="preserve">Confidential – Internal Technical Documentation | SolarSense DSE Team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3F" w:sz="4" w:space="1"/>
      </w:pBdr>
    </w:pPr>
    <w:r>
      <w:rPr>
        <w:rFonts w:ascii="Arial" w:cs="Arial" w:eastAsia="Arial" w:hAnsi="Arial"/>
        <w:color w:val="888888"/>
        <w:sz w:val="18"/>
        <w:szCs w:val="18"/>
      </w:rPr>
      <w:t xml:space="preserve">SolarSense DSE | CBECS-to-Africa Adaptation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D6A3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2026-02-20T17:15:09.037Z</dcterms:created>
  <dcterms:modified xsi:type="dcterms:W3CDTF">2026-02-20T17:15:09.038Z</dcterms:modified>
</cp:coreProperties>
</file>

<file path=docProps/custom.xml><?xml version="1.0" encoding="utf-8"?>
<Properties xmlns="http://schemas.openxmlformats.org/officeDocument/2006/custom-properties" xmlns:vt="http://schemas.openxmlformats.org/officeDocument/2006/docPropsVTypes"/>
</file>