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SolarSense DSE</w:t>
      </w:r>
    </w:p>
    <w:p>
      <w:pPr>
        <w:spacing w:before="0" w:after="120"/>
      </w:pPr>
      <w:r>
        <w:rPr>
          <w:rFonts w:ascii="Arial" w:cs="Arial" w:eastAsia="Arial" w:hAnsi="Arial"/>
          <w:b/>
          <w:bCs/>
          <w:color w:val="1F5C8B"/>
          <w:sz w:val="48"/>
          <w:szCs w:val="48"/>
        </w:rPr>
        <w:t xml:space="preserve">Scientific Basis for Climate Adjustment Factors</w:t>
      </w:r>
    </w:p>
    <w:p>
      <w:pPr>
        <w:spacing w:before="0" w:after="60"/>
      </w:pPr>
      <w:r>
        <w:rPr>
          <w:rFonts w:ascii="Arial" w:cs="Arial" w:eastAsia="Arial" w:hAnsi="Arial"/>
          <w:i/>
          <w:iCs/>
          <w:color w:val="2E75B6"/>
          <w:sz w:val="24"/>
          <w:szCs w:val="24"/>
        </w:rPr>
        <w:t xml:space="preserve">Model 1 – Energy Consumption Prediction | Technical Justification Document</w:t>
      </w:r>
    </w:p>
    <w:p>
      <w:pPr>
        <w:spacing w:before="0" w:after="480"/>
      </w:pPr>
      <w:r>
        <w:rPr>
          <w:rFonts w:ascii="Arial" w:cs="Arial" w:eastAsia="Arial" w:hAnsi="Arial"/>
          <w:color w:val="888888"/>
          <w:sz w:val="20"/>
          <w:szCs w:val="20"/>
        </w:rPr>
        <w:t xml:space="preserve">Version 1.0 | February 2026 | SolarSense DSE Team</w:t>
      </w:r>
    </w:p>
    <w:p>
      <w:pPr>
        <w:pStyle w:val="Heading1"/>
        <w:spacing w:before="360" w:after="180"/>
      </w:pPr>
      <w:r>
        <w:rPr>
          <w:rFonts w:ascii="Arial" w:cs="Arial" w:eastAsia="Arial" w:hAnsi="Arial"/>
          <w:b/>
          <w:bCs/>
          <w:color w:val="1F5C8B"/>
          <w:sz w:val="32"/>
          <w:szCs w:val="32"/>
        </w:rPr>
        <w:t xml:space="preserve">1. Overview and Purpose</w:t>
      </w:r>
    </w:p>
    <w:p>
      <w:pPr>
        <w:spacing w:before="80" w:after="120"/>
        <w:jc w:val="both"/>
      </w:pPr>
      <w:r>
        <w:rPr>
          <w:rFonts w:ascii="Arial" w:cs="Arial" w:eastAsia="Arial" w:hAnsi="Arial"/>
          <w:sz w:val="22"/>
          <w:szCs w:val="22"/>
        </w:rPr>
        <w:t xml:space="preserve">Model 1 of the SolarSense DSE pipeline estimates monthly electricity consumption for food retail SMEs (butcheries, groceries, mini-supermarkets) in Sub-Saharan Africa. Because the underlying ML model is trained on the US CBECS 2018 dataset—collected in a temperate climate with moderate energy intensities—a post-processing climate adjustment factor is applied to each prediction to account for the substantially higher thermal load imposed by tropical and sub-tropical African climates.</w:t>
      </w:r>
    </w:p>
    <w:p>
      <w:pPr>
        <w:spacing w:before="60" w:after="60"/>
      </w:pPr>
      <w:r>
        <w:t xml:space="preserve"/>
      </w:r>
    </w:p>
    <w:p>
      <w:pPr>
        <w:spacing w:before="80" w:after="120"/>
        <w:jc w:val="both"/>
      </w:pPr>
      <w:r>
        <w:rPr>
          <w:rFonts w:ascii="Arial" w:cs="Arial" w:eastAsia="Arial" w:hAnsi="Arial"/>
          <w:sz w:val="22"/>
          <w:szCs w:val="22"/>
        </w:rPr>
        <w:t xml:space="preserve">This document provides the scientific and engineering basis for the city-level climate adjustment factors currently implemented in the model, and sets out the principles that should govern their future revision and expansion.</w:t>
      </w:r>
    </w:p>
    <w:p>
      <w:pPr>
        <w:spacing w:before="60" w:after="60"/>
      </w:pPr>
      <w:r>
        <w:t xml:space="preserve"/>
      </w:r>
    </w:p>
    <w:p>
      <w:pPr>
        <w:spacing w:before="80" w:after="120"/>
        <w:jc w:val="both"/>
      </w:pPr>
      <w:r>
        <w:rPr>
          <w:rFonts w:ascii="Arial" w:cs="Arial" w:eastAsia="Arial" w:hAnsi="Arial"/>
          <w:b/>
          <w:bCs/>
          <w:sz w:val="22"/>
          <w:szCs w:val="22"/>
        </w:rPr>
        <w:t xml:space="preserve">Scope: </w:t>
      </w:r>
      <w:r>
        <w:rPr>
          <w:rFonts w:ascii="Arial" w:cs="Arial" w:eastAsia="Arial" w:hAnsi="Arial"/>
          <w:sz w:val="22"/>
          <w:szCs w:val="22"/>
        </w:rPr>
        <w:t xml:space="preserve">This document covers the climate factors for the cities explicitly mapped in the current implementation: Lagos (Nigeria), Nairobi (Kenya), Accra (Ghana), Dakar (Senegal), Kampala (Uganda), Addis Ababa (Ethiopia), and Johannesburg (South Africa), as well as the rationale for the 1.20 default applied to all unlisted locations.</w:t>
      </w:r>
    </w:p>
    <w:p>
      <w:pPr>
        <w:spacing w:before="60" w:after="60"/>
      </w:pPr>
      <w:r>
        <w:t xml:space="preserve"/>
      </w:r>
    </w:p>
    <w:p>
      <w:pPr>
        <w:pStyle w:val="Heading1"/>
        <w:spacing w:before="360" w:after="180"/>
      </w:pPr>
      <w:r>
        <w:rPr>
          <w:rFonts w:ascii="Arial" w:cs="Arial" w:eastAsia="Arial" w:hAnsi="Arial"/>
          <w:b/>
          <w:bCs/>
          <w:color w:val="1F5C8B"/>
          <w:sz w:val="32"/>
          <w:szCs w:val="32"/>
        </w:rPr>
        <w:t xml:space="preserve">2. Thermodynamic Basis: Why Climate Increases Refrigeration Energy</w:t>
      </w:r>
    </w:p>
    <w:p>
      <w:pPr>
        <w:pStyle w:val="Heading2"/>
        <w:spacing w:before="280" w:after="140"/>
      </w:pPr>
      <w:r>
        <w:rPr>
          <w:rFonts w:ascii="Arial" w:cs="Arial" w:eastAsia="Arial" w:hAnsi="Arial"/>
          <w:b/>
          <w:bCs/>
          <w:color w:val="2E75B6"/>
          <w:sz w:val="26"/>
          <w:szCs w:val="26"/>
        </w:rPr>
        <w:t xml:space="preserve">2.1 Refrigeration COP and Ambient Temperature</w:t>
      </w:r>
    </w:p>
    <w:p>
      <w:pPr>
        <w:spacing w:before="80" w:after="120"/>
        <w:jc w:val="both"/>
      </w:pPr>
      <w:r>
        <w:rPr>
          <w:rFonts w:ascii="Arial" w:cs="Arial" w:eastAsia="Arial" w:hAnsi="Arial"/>
          <w:sz w:val="22"/>
          <w:szCs w:val="22"/>
        </w:rPr>
        <w:t xml:space="preserve">The fundamental reason warmer climates require a climate adjustment factor is rooted in refrigeration thermodynamics. A vapour-compression refrigeration cycle—the type used in all commercial fridges and freezers—must reject heat to the environment through its condenser. The coefficient of performance (COP) of the cycle is governed by the Carnot relationship:</w:t>
      </w:r>
    </w:p>
    <w:p>
      <w:pPr>
        <w:spacing w:before="60" w:after="60"/>
      </w:pPr>
      <w:r>
        <w:t xml:space="preserve"/>
      </w:r>
    </w:p>
    <w:p>
      <w:pPr>
        <w:spacing w:before="120" w:after="120"/>
        <w:jc w:val="center"/>
      </w:pPr>
      <w:r>
        <w:rPr>
          <w:rFonts w:ascii="Courier New" w:cs="Courier New" w:eastAsia="Courier New" w:hAnsi="Courier New"/>
          <w:b/>
          <w:bCs/>
          <w:sz w:val="22"/>
          <w:szCs w:val="22"/>
        </w:rPr>
        <w:t xml:space="preserve">COP₀ ∝ Tₙ / (Tₕ − Tₙ)</w:t>
      </w:r>
    </w:p>
    <w:p>
      <w:pPr>
        <w:spacing w:before="80" w:after="120"/>
        <w:jc w:val="both"/>
      </w:pPr>
      <w:r>
        <w:rPr>
          <w:rFonts w:ascii="Arial" w:cs="Arial" w:eastAsia="Arial" w:hAnsi="Arial"/>
          <w:sz w:val="22"/>
          <w:szCs w:val="22"/>
        </w:rPr>
        <w:t xml:space="preserve">Where </w:t>
      </w:r>
      <w:r>
        <w:rPr>
          <w:rFonts w:ascii="Arial" w:cs="Arial" w:eastAsia="Arial" w:hAnsi="Arial"/>
          <w:i/>
          <w:iCs/>
          <w:sz w:val="22"/>
          <w:szCs w:val="22"/>
        </w:rPr>
        <w:t xml:space="preserve">Tₙ</w:t>
      </w:r>
      <w:r>
        <w:rPr>
          <w:rFonts w:ascii="Arial" w:cs="Arial" w:eastAsia="Arial" w:hAnsi="Arial"/>
          <w:sz w:val="22"/>
          <w:szCs w:val="22"/>
        </w:rPr>
        <w:t xml:space="preserve"> is the cold-side (cabinet) temperature and </w:t>
      </w:r>
      <w:r>
        <w:rPr>
          <w:rFonts w:ascii="Arial" w:cs="Arial" w:eastAsia="Arial" w:hAnsi="Arial"/>
          <w:i/>
          <w:iCs/>
          <w:sz w:val="22"/>
          <w:szCs w:val="22"/>
        </w:rPr>
        <w:t xml:space="preserve">Tₕ</w:t>
      </w:r>
      <w:r>
        <w:rPr>
          <w:rFonts w:ascii="Arial" w:cs="Arial" w:eastAsia="Arial" w:hAnsi="Arial"/>
          <w:sz w:val="22"/>
          <w:szCs w:val="22"/>
        </w:rPr>
        <w:t xml:space="preserve"> is the hot-side (ambient condenser) temperature, both in Kelvin. As ambient temperature rises, </w:t>
      </w:r>
      <w:r>
        <w:rPr>
          <w:rFonts w:ascii="Arial" w:cs="Arial" w:eastAsia="Arial" w:hAnsi="Arial"/>
          <w:i/>
          <w:iCs/>
          <w:sz w:val="22"/>
          <w:szCs w:val="22"/>
        </w:rPr>
        <w:t xml:space="preserve">Tₕ</w:t>
      </w:r>
      <w:r>
        <w:rPr>
          <w:rFonts w:ascii="Arial" w:cs="Arial" w:eastAsia="Arial" w:hAnsi="Arial"/>
          <w:sz w:val="22"/>
          <w:szCs w:val="22"/>
        </w:rPr>
        <w:t xml:space="preserve"> increases, the denominator grows, and COP decreases—meaning more electrical energy is consumed per unit of cooling delivered.</w:t>
      </w:r>
    </w:p>
    <w:p>
      <w:pPr>
        <w:spacing w:before="60" w:after="60"/>
      </w:pPr>
      <w:r>
        <w:t xml:space="preserve"/>
      </w:r>
    </w:p>
    <w:p>
      <w:pPr>
        <w:spacing w:before="80" w:after="120"/>
        <w:jc w:val="both"/>
      </w:pPr>
      <w:r>
        <w:rPr>
          <w:rFonts w:ascii="Arial" w:cs="Arial" w:eastAsia="Arial" w:hAnsi="Arial"/>
          <w:sz w:val="22"/>
          <w:szCs w:val="22"/>
        </w:rPr>
        <w:t xml:space="preserve">Empirical evidence confirms this clearly. A real-world industrial refrigeration case study showed that when ambient temperature rose from 32°C to 40°C, compressor shaft power increased by 10.9%, the system's COP fell by 18.4%, and the plant ran 10% longer—consuming 11% more energy overall to deliver the same cooling output (Star Refrigeration, 2025). Research on commercial refrigeration systems has also demonstrated that system efficiency declines noticeably once ambient temperatures exceed 35°C (308 K), confirming that tropical operating conditions consistently impose a significant energy penalty compared to temperate-climate design baselines (Tira et al., 2025).</w:t>
      </w:r>
    </w:p>
    <w:p>
      <w:pPr>
        <w:spacing w:before="60" w:after="60"/>
      </w:pPr>
      <w:r>
        <w:t xml:space="preserve"/>
      </w:r>
    </w:p>
    <w:p>
      <w:pPr>
        <w:spacing w:before="80" w:after="120"/>
        <w:jc w:val="both"/>
      </w:pPr>
      <w:r>
        <w:rPr>
          <w:rFonts w:ascii="Arial" w:cs="Arial" w:eastAsia="Arial" w:hAnsi="Arial"/>
          <w:sz w:val="22"/>
          <w:szCs w:val="22"/>
        </w:rPr>
        <w:t xml:space="preserve">From a design standards perspective, ASHRAE climate class ratings for commercial refrigeration equipment recognise this effect explicitly: Class 5 equipment is specified for tropical environments (up to 40°C ambient, up to 40% relative humidity), representing a substantially more demanding design envelope than the Class 3 or 4 conditions typical of US commercial buildings surveyed in CBECS (SIS Refrigeration, 2024).</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2.2 The Additional Humidity Penalty</w:t>
      </w:r>
    </w:p>
    <w:p>
      <w:pPr>
        <w:spacing w:before="80" w:after="120"/>
        <w:jc w:val="both"/>
      </w:pPr>
      <w:r>
        <w:rPr>
          <w:rFonts w:ascii="Arial" w:cs="Arial" w:eastAsia="Arial" w:hAnsi="Arial"/>
          <w:sz w:val="22"/>
          <w:szCs w:val="22"/>
        </w:rPr>
        <w:t xml:space="preserve">Sub-Saharan African cities, particularly coastal and equatorial ones, combine high ambient temperatures with high relative humidity. This compounds the refrigeration energy penalty through two mechanisms:</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Higher infiltration heat load: </w:t>
      </w:r>
      <w:r>
        <w:rPr>
          <w:rFonts w:ascii="Arial" w:cs="Arial" w:eastAsia="Arial" w:hAnsi="Arial"/>
          <w:sz w:val="22"/>
          <w:szCs w:val="22"/>
        </w:rPr>
        <w:t xml:space="preserve">When refrigerated cabinet doors are opened, warm humid air enters and must be cooled and dehumidified. At 80% relative humidity—typical of Lagos in the rainy season—the latent heat component of this load is substantially greater than in drier US commercial environments.</w:t>
      </w:r>
    </w:p>
    <w:p>
      <w:pPr>
        <w:pStyle w:val="ListParagraph"/>
        <w:numPr>
          <w:ilvl w:val="0"/>
          <w:numId w:val="2"/>
        </w:numPr>
        <w:spacing w:before="60" w:after="60"/>
      </w:pPr>
      <w:r>
        <w:rPr>
          <w:rFonts w:ascii="Arial" w:cs="Arial" w:eastAsia="Arial" w:hAnsi="Arial"/>
          <w:b/>
          <w:bCs/>
          <w:sz w:val="22"/>
          <w:szCs w:val="22"/>
        </w:rPr>
        <w:t xml:space="preserve">Condenser efficiency reduction: </w:t>
      </w:r>
      <w:r>
        <w:rPr>
          <w:rFonts w:ascii="Arial" w:cs="Arial" w:eastAsia="Arial" w:hAnsi="Arial"/>
          <w:sz w:val="22"/>
          <w:szCs w:val="22"/>
        </w:rPr>
        <w:t xml:space="preserve">At high humidity, the heat rejection capacity of air-cooled condensers is reduced, as wet-bulb temperature approaches dry-bulb temperature, limiting the effective temperature differential available for heat exchange.</w:t>
      </w:r>
    </w:p>
    <w:p>
      <w:pPr>
        <w:pStyle w:val="ListParagraph"/>
        <w:numPr>
          <w:ilvl w:val="0"/>
          <w:numId w:val="2"/>
        </w:numPr>
        <w:spacing w:before="60" w:after="60"/>
      </w:pPr>
      <w:r>
        <w:rPr>
          <w:rFonts w:ascii="Arial" w:cs="Arial" w:eastAsia="Arial" w:hAnsi="Arial"/>
          <w:b/>
          <w:bCs/>
          <w:sz w:val="22"/>
          <w:szCs w:val="22"/>
        </w:rPr>
        <w:t xml:space="preserve">Anti-sweat heater demand: </w:t>
      </w:r>
      <w:r>
        <w:rPr>
          <w:rFonts w:ascii="Arial" w:cs="Arial" w:eastAsia="Arial" w:hAnsi="Arial"/>
          <w:sz w:val="22"/>
          <w:szCs w:val="22"/>
        </w:rPr>
        <w:t xml:space="preserve">Commercial refrigerated cabinets use anti-sweat heaters on door frames to prevent condensation. Research on US supermarkets has shown that for a 5% reduction in relative humidity, display case refrigeration load can be reduced by 9.25% (Fischer &amp; Rice, 2012). Conversely, higher ambient humidity—as in West African coastal cities—materially increases this component of consumption.</w:t>
      </w:r>
    </w:p>
    <w:p>
      <w:pPr>
        <w:spacing w:before="60" w:after="60"/>
      </w:pPr>
      <w:r>
        <w:t xml:space="preserve"/>
      </w:r>
    </w:p>
    <w:p>
      <w:pPr>
        <w:spacing w:before="80" w:after="120"/>
        <w:jc w:val="both"/>
      </w:pPr>
      <w:r>
        <w:rPr>
          <w:rFonts w:ascii="Arial" w:cs="Arial" w:eastAsia="Arial" w:hAnsi="Arial"/>
          <w:sz w:val="22"/>
          <w:szCs w:val="22"/>
        </w:rPr>
        <w:t xml:space="preserve">A 23-year study of Lagos using NASA temperature data found that Cooling Degree Hours at a 23.3°C baseline ranged from approximately 1,000 to 3,500 °C·hr per month, with heating requirements approaching zero throughout the year—quantifying the extreme and sustained cooling burden (ScienceDirect, 2025). Outdoor HVACR design values research for Nigeria confirmed that Lagos dry-bulb temperatures at 0.4% exceedance are 30.2°C in January (the mildest month), rising to around 34°C in peak conditions (Tandfonline, 2025).</w:t>
      </w:r>
    </w:p>
    <w:p>
      <w:pPr>
        <w:spacing w:before="60" w:after="60"/>
      </w:pPr>
      <w:r>
        <w:t xml:space="preserve"/>
      </w:r>
    </w:p>
    <w:p>
      <w:pPr>
        <w:pStyle w:val="Heading1"/>
        <w:spacing w:before="360" w:after="180"/>
      </w:pPr>
      <w:r>
        <w:rPr>
          <w:rFonts w:ascii="Arial" w:cs="Arial" w:eastAsia="Arial" w:hAnsi="Arial"/>
          <w:b/>
          <w:bCs/>
          <w:color w:val="1F5C8B"/>
          <w:sz w:val="32"/>
          <w:szCs w:val="32"/>
        </w:rPr>
        <w:t xml:space="preserve">3. City-Level Climate Adjustment Factors: Scientific Basis</w:t>
      </w:r>
    </w:p>
    <w:p>
      <w:pPr>
        <w:spacing w:before="80" w:after="120"/>
        <w:jc w:val="both"/>
      </w:pPr>
      <w:r>
        <w:rPr>
          <w:rFonts w:ascii="Arial" w:cs="Arial" w:eastAsia="Arial" w:hAnsi="Arial"/>
          <w:sz w:val="22"/>
          <w:szCs w:val="22"/>
        </w:rPr>
        <w:t xml:space="preserve">The following table summarises the implemented factors alongside the primary climate evidence underpinning them.</w:t>
      </w:r>
    </w:p>
    <w:p>
      <w:pPr>
        <w:spacing w:before="6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400"/>
        <w:gridCol w:w="1300"/>
        <w:gridCol w:w="1200"/>
        <w:gridCol w:w="2760"/>
      </w:tblGrid>
      <w:tr>
        <w:trPr>
          <w:tblHeader/>
        </w:trPr>
        <w:tc>
          <w:tcPr>
            <w:tcW w:type="dxa" w:w="14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7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4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Köppen Zone</w:t>
            </w:r>
          </w:p>
        </w:tc>
        <w:tc>
          <w:tcPr>
            <w:tcW w:type="dxa" w:w="13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Avg. Temp (°C)</w:t>
            </w:r>
          </w:p>
        </w:tc>
        <w:tc>
          <w:tcPr>
            <w:tcW w:type="dxa" w:w="12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Avg. Humidity</w:t>
            </w:r>
          </w:p>
        </w:tc>
        <w:tc>
          <w:tcPr>
            <w:tcW w:type="dxa" w:w="276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Climate Rationale</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Lagos, Nigeria</w:t>
            </w:r>
          </w:p>
        </w:tc>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1.35</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Am / Aw (Tropical)</w:t>
            </w:r>
          </w:p>
        </w:tc>
        <w:tc>
          <w:tcPr>
            <w:tcW w:type="dxa" w:w="1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~28–29°C year-round</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75–87% RH</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Hot-humid coastal; near-zero seasonal variation; extreme COP penalty from combined heat + humidity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Accra, Ghana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 (Tropical Savanna)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~27–30°C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~70–80% RH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Hot-humid coastal West Africa; similar profile to Lagos with marginally lower humidity</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Dakar, Senegal</w:t>
            </w:r>
          </w:p>
        </w:tc>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1.28</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BSh (Hot Semi-Arid)</w:t>
            </w:r>
          </w:p>
        </w:tc>
        <w:tc>
          <w:tcPr>
            <w:tcW w:type="dxa" w:w="1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~24–30°C</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~60–75% RH</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Hot coastal; ocean moderation reduces peak temperature but humidity remains elevated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Kampala, Uganda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Cfb (Equatorial Highland)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~70–80% RH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Equatorial but elevated (~1,200m); lower temps partially offset by high humidity</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Nairobi, Kenya</w:t>
            </w:r>
          </w:p>
        </w:tc>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Cfb (Temperate Highland)</w:t>
            </w:r>
          </w:p>
        </w:tc>
        <w:tc>
          <w:tcPr>
            <w:tcW w:type="dxa" w:w="1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~14–24°C</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~55–70% RH</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Moderate highland climate (~1,795m elevation); lowest heat load; default factor applied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Addis Ababa, Ethiopia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Cwb (Highland Subtropical)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~50–70% RH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High-altitude moderate climate; somewhat higher than Nairobi due to seasonal aridity</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Johannesburg, South Africa</w:t>
            </w:r>
          </w:p>
        </w:tc>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BSk (Semi-Arid Steppe)</w:t>
            </w:r>
          </w:p>
        </w:tc>
        <w:tc>
          <w:tcPr>
            <w:tcW w:type="dxa" w:w="1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~10–25°C</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~40–60% RH</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Temperate, high-elevation plateau; significant seasonal swing; lowest sustained heat load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(unknown city)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Conservative assumption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when location string matches no known city; conservative lower bound</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3.1 Lagos, Nigeria (1.35x) – Highest Factor</w:t>
      </w:r>
    </w:p>
    <w:p>
      <w:pPr>
        <w:spacing w:before="80" w:after="120"/>
        <w:jc w:val="both"/>
      </w:pPr>
      <w:r>
        <w:rPr>
          <w:rFonts w:ascii="Arial" w:cs="Arial" w:eastAsia="Arial" w:hAnsi="Arial"/>
          <w:sz w:val="22"/>
          <w:szCs w:val="22"/>
        </w:rPr>
        <w:t xml:space="preserve">Lagos is the most thermally demanding city in the current implementation, and the 1.35 factor is supported by multiple independent lines of evidence:</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Sustained high temperatures: </w:t>
      </w:r>
      <w:r>
        <w:rPr>
          <w:rFonts w:ascii="Arial" w:cs="Arial" w:eastAsia="Arial" w:hAnsi="Arial"/>
          <w:sz w:val="22"/>
          <w:szCs w:val="22"/>
        </w:rPr>
        <w:t xml:space="preserve">Annual mean temperature is approximately 28.4°C with a minimum monthly average of 25.6°C (August) and a maximum of 29.5°C (March), meaning refrigeration equipment operates under high-condensing-temperature conditions every month of the year (Climates to Travel, 2025).</w:t>
      </w:r>
    </w:p>
    <w:p>
      <w:pPr>
        <w:pStyle w:val="ListParagraph"/>
        <w:numPr>
          <w:ilvl w:val="0"/>
          <w:numId w:val="2"/>
        </w:numPr>
        <w:spacing w:before="60" w:after="60"/>
      </w:pPr>
      <w:r>
        <w:rPr>
          <w:rFonts w:ascii="Arial" w:cs="Arial" w:eastAsia="Arial" w:hAnsi="Arial"/>
          <w:b/>
          <w:bCs/>
          <w:sz w:val="22"/>
          <w:szCs w:val="22"/>
        </w:rPr>
        <w:t xml:space="preserve">Extreme humidity: </w:t>
      </w:r>
      <w:r>
        <w:rPr>
          <w:rFonts w:ascii="Arial" w:cs="Arial" w:eastAsia="Arial" w:hAnsi="Arial"/>
          <w:sz w:val="22"/>
          <w:szCs w:val="22"/>
        </w:rPr>
        <w:t xml:space="preserve">Monthly average relative humidity ranges from approximately 71% (dry season) to 87% (rainy season peak), imposing a persistent latent heat burden on refrigerated spaces.</w:t>
      </w:r>
    </w:p>
    <w:p>
      <w:pPr>
        <w:pStyle w:val="ListParagraph"/>
        <w:numPr>
          <w:ilvl w:val="0"/>
          <w:numId w:val="2"/>
        </w:numPr>
        <w:spacing w:before="60" w:after="60"/>
      </w:pPr>
      <w:r>
        <w:rPr>
          <w:rFonts w:ascii="Arial" w:cs="Arial" w:eastAsia="Arial" w:hAnsi="Arial"/>
          <w:b/>
          <w:bCs/>
          <w:sz w:val="22"/>
          <w:szCs w:val="22"/>
        </w:rPr>
        <w:t xml:space="preserve">Cooling Degree Hours: </w:t>
      </w:r>
      <w:r>
        <w:rPr>
          <w:rFonts w:ascii="Arial" w:cs="Arial" w:eastAsia="Arial" w:hAnsi="Arial"/>
          <w:sz w:val="22"/>
          <w:szCs w:val="22"/>
        </w:rPr>
        <w:t xml:space="preserve">CDH analysis using a 23.3°C baseline showed values ranging from 1,000 to 3,500 °C·hr per month, with heating requirements effectively zero—confirming year-round, unrelenting cooling demand (ScienceDirect, 2025).</w:t>
      </w:r>
    </w:p>
    <w:p>
      <w:pPr>
        <w:pStyle w:val="ListParagraph"/>
        <w:numPr>
          <w:ilvl w:val="0"/>
          <w:numId w:val="2"/>
        </w:numPr>
        <w:spacing w:before="60" w:after="60"/>
      </w:pPr>
      <w:r>
        <w:rPr>
          <w:rFonts w:ascii="Arial" w:cs="Arial" w:eastAsia="Arial" w:hAnsi="Arial"/>
          <w:b/>
          <w:bCs/>
          <w:sz w:val="22"/>
          <w:szCs w:val="22"/>
        </w:rPr>
        <w:t xml:space="preserve">HVACR energy intensity: </w:t>
      </w:r>
      <w:r>
        <w:rPr>
          <w:rFonts w:ascii="Arial" w:cs="Arial" w:eastAsia="Arial" w:hAnsi="Arial"/>
          <w:sz w:val="22"/>
          <w:szCs w:val="22"/>
        </w:rPr>
        <w:t xml:space="preserve">Research on air-conditioning energy in West Africa has found that cooling systems can consume 50–80% of total building electricity in residential and commercial settings in Nigeria—a figure well above the proportion observed in CBECS buildings (JOCET, 2020).</w:t>
      </w:r>
    </w:p>
    <w:p>
      <w:pPr>
        <w:pStyle w:val="ListParagraph"/>
        <w:numPr>
          <w:ilvl w:val="0"/>
          <w:numId w:val="2"/>
        </w:numPr>
        <w:spacing w:before="60" w:after="60"/>
      </w:pPr>
      <w:r>
        <w:rPr>
          <w:rFonts w:ascii="Arial" w:cs="Arial" w:eastAsia="Arial" w:hAnsi="Arial"/>
          <w:b/>
          <w:bCs/>
          <w:sz w:val="22"/>
          <w:szCs w:val="22"/>
        </w:rPr>
        <w:t xml:space="preserve">ASHRAE 169 classification: </w:t>
      </w:r>
      <w:r>
        <w:rPr>
          <w:rFonts w:ascii="Arial" w:cs="Arial" w:eastAsia="Arial" w:hAnsi="Arial"/>
          <w:sz w:val="22"/>
          <w:szCs w:val="22"/>
        </w:rPr>
        <w:t xml:space="preserve">Lagos falls in ASHRAE climate zone 1A (Very Hot—Humid), the most energy-intensive cooling classification in the ASHRAE 169 system, as referenced in CBECS 2018 itself, which uses these zones for US climate stratification. US CBECS buildings are predominantly in zones 3–5, making direct comparison without adjustment inappropriate.</w:t>
      </w:r>
    </w:p>
    <w:p>
      <w:pPr>
        <w:spacing w:before="60" w:after="60"/>
      </w:pPr>
      <w:r>
        <w:t xml:space="preserve"/>
      </w:r>
    </w:p>
    <w:p>
      <w:pPr>
        <w:spacing w:before="80" w:after="120"/>
        <w:jc w:val="both"/>
      </w:pPr>
      <w:r>
        <w:rPr>
          <w:rFonts w:ascii="Arial" w:cs="Arial" w:eastAsia="Arial" w:hAnsi="Arial"/>
          <w:i/>
          <w:iCs/>
          <w:sz w:val="22"/>
          <w:szCs w:val="22"/>
        </w:rPr>
        <w:t xml:space="preserve">Quantitative consistency check: </w:t>
      </w:r>
      <w:r>
        <w:rPr>
          <w:rFonts w:ascii="Arial" w:cs="Arial" w:eastAsia="Arial" w:hAnsi="Arial"/>
          <w:sz w:val="22"/>
          <w:szCs w:val="22"/>
        </w:rPr>
        <w:t xml:space="preserve">A refrigeration system originally designed for 32°C ambient (close to continental US summer) experiencing 40°C ambient (Lagos peak dry season) would see COP fall 18.4% and energy consumption rise 11% on a like-for-like basis (Star Refrigeration, 2025). The 1.35 factor (representing a 35% uplift) is conservative given this compressor-level data, as it also accounts for latent load increases and extended operating duration—not just condenser penalty.</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3.2 Nairobi, Kenya (1.20x) – Lower-Bound Calibration</w:t>
      </w:r>
    </w:p>
    <w:p>
      <w:pPr>
        <w:spacing w:before="80" w:after="120"/>
        <w:jc w:val="both"/>
      </w:pPr>
      <w:r>
        <w:rPr>
          <w:rFonts w:ascii="Arial" w:cs="Arial" w:eastAsia="Arial" w:hAnsi="Arial"/>
          <w:sz w:val="22"/>
          <w:szCs w:val="22"/>
        </w:rPr>
        <w:t xml:space="preserve">Nairobi serves as the lower anchor in the factor range and is scientifically justified by its temperate highland climate:</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Elevation effect: </w:t>
      </w:r>
      <w:r>
        <w:rPr>
          <w:rFonts w:ascii="Arial" w:cs="Arial" w:eastAsia="Arial" w:hAnsi="Arial"/>
          <w:sz w:val="22"/>
          <w:szCs w:val="22"/>
        </w:rPr>
        <w:t xml:space="preserve">Nairobi sits at approximately 1,795m above sea level, which reduces ambient temperatures materially. Historic average temperatures range from a nighttime minimum of 18.3°C to a daytime maximum of 30.3°C (SEforALL / GIZ, 2023). This is the most moderate climate in the current city set.</w:t>
      </w:r>
    </w:p>
    <w:p>
      <w:pPr>
        <w:pStyle w:val="ListParagraph"/>
        <w:numPr>
          <w:ilvl w:val="0"/>
          <w:numId w:val="2"/>
        </w:numPr>
        <w:spacing w:before="60" w:after="60"/>
      </w:pPr>
      <w:r>
        <w:rPr>
          <w:rFonts w:ascii="Arial" w:cs="Arial" w:eastAsia="Arial" w:hAnsi="Arial"/>
          <w:b/>
          <w:bCs/>
          <w:sz w:val="22"/>
          <w:szCs w:val="22"/>
        </w:rPr>
        <w:t xml:space="preserve">Moderate humidity: </w:t>
      </w:r>
      <w:r>
        <w:rPr>
          <w:rFonts w:ascii="Arial" w:cs="Arial" w:eastAsia="Arial" w:hAnsi="Arial"/>
          <w:sz w:val="22"/>
          <w:szCs w:val="22"/>
        </w:rPr>
        <w:t xml:space="preserve">Relative humidity is typically 55–70%, compared to Lagos's 71–87%. This reduces both the latent infiltration load and anti-sweat heater demand.</w:t>
      </w:r>
    </w:p>
    <w:p>
      <w:pPr>
        <w:pStyle w:val="ListParagraph"/>
        <w:numPr>
          <w:ilvl w:val="0"/>
          <w:numId w:val="2"/>
        </w:numPr>
        <w:spacing w:before="60" w:after="60"/>
      </w:pPr>
      <w:r>
        <w:rPr>
          <w:rFonts w:ascii="Arial" w:cs="Arial" w:eastAsia="Arial" w:hAnsi="Arial"/>
          <w:b/>
          <w:bCs/>
          <w:sz w:val="22"/>
          <w:szCs w:val="22"/>
        </w:rPr>
        <w:t xml:space="preserve">Kenya's National Cooling Action Plan context: </w:t>
      </w:r>
      <w:r>
        <w:rPr>
          <w:rFonts w:ascii="Arial" w:cs="Arial" w:eastAsia="Arial" w:hAnsi="Arial"/>
          <w:sz w:val="22"/>
          <w:szCs w:val="22"/>
        </w:rPr>
        <w:t xml:space="preserve">Kenya's NCAP (launched June 2023) acknowledges that inland/highland areas such as Nairobi are more temperate, while coastal cities like Mombasa and inland hotspots like Turkana experience significantly higher heat burdens with monthly average highs close to 40°C (CLASP / SEforALL, 2023). Nairobi is at the cooler end of Kenya's own diversity.</w:t>
      </w:r>
    </w:p>
    <w:p>
      <w:pPr>
        <w:pStyle w:val="ListParagraph"/>
        <w:numPr>
          <w:ilvl w:val="0"/>
          <w:numId w:val="2"/>
        </w:numPr>
        <w:spacing w:before="60" w:after="60"/>
      </w:pPr>
      <w:r>
        <w:rPr>
          <w:rFonts w:ascii="Arial" w:cs="Arial" w:eastAsia="Arial" w:hAnsi="Arial"/>
          <w:b/>
          <w:bCs/>
          <w:sz w:val="22"/>
          <w:szCs w:val="22"/>
        </w:rPr>
        <w:t xml:space="preserve">Rationale for 1.20 vs. 1.00: </w:t>
      </w:r>
      <w:r>
        <w:rPr>
          <w:rFonts w:ascii="Arial" w:cs="Arial" w:eastAsia="Arial" w:hAnsi="Arial"/>
          <w:sz w:val="22"/>
          <w:szCs w:val="22"/>
        </w:rPr>
        <w:t xml:space="preserve">Even Nairobi's moderate climate is materially warmer and more humid than the US commercial building average captured in CBECS. The US population-weighted average heating/cooling degree day profile is markedly different from Nairobi's year-round sub-tropical conditions. A minimum 20% upward adjustment is therefore retained even for the coolest mapped city.</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3.3 Intermediate Cities (1.22–1.30x)</w:t>
      </w:r>
    </w:p>
    <w:p>
      <w:pPr>
        <w:spacing w:before="80" w:after="120"/>
        <w:jc w:val="both"/>
      </w:pPr>
      <w:r>
        <w:rPr>
          <w:rFonts w:ascii="Arial" w:cs="Arial" w:eastAsia="Arial" w:hAnsi="Arial"/>
          <w:sz w:val="22"/>
          <w:szCs w:val="22"/>
        </w:rPr>
        <w:t xml:space="preserve">The intermediate factors for Accra, Dakar, Kampala, and Addis Ababa are calibrated to reflect their position between the Lagos (hot-humid coastal) and Nairobi (temperate highland) poles. The factors account for three variables: mean annual temperature, typical humidity, and altitude-driven temperature moderation. Where cities are coastal and equatorial (Accra, Dakar), higher factors apply. Where cities are elevated (Kampala at ~1,200m, Addis Ababa at ~2,300m), lower factors in the 1.22–1.25 range are used.</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3.4 Default Factor (1.20x)</w:t>
      </w:r>
    </w:p>
    <w:p>
      <w:pPr>
        <w:spacing w:before="80" w:after="120"/>
        <w:jc w:val="both"/>
      </w:pPr>
      <w:r>
        <w:rPr>
          <w:rFonts w:ascii="Arial" w:cs="Arial" w:eastAsia="Arial" w:hAnsi="Arial"/>
          <w:sz w:val="22"/>
          <w:szCs w:val="22"/>
        </w:rPr>
        <w:t xml:space="preserve">When the location string does not match any known city substring, the model falls back to 1.20. This is intentionally conservative—it represents the Nairobi lower bound, not a midpoint or average. The rationale is to avoid overestimating consumption for edge cases, thereby keeping the model's outputs useful for viability screening without producing unreliable high estimates that might distort solar investment decisions. Future work should expand the city lookup table based on empirical data as it becomes available.</w:t>
      </w:r>
    </w:p>
    <w:p>
      <w:pPr>
        <w:spacing w:before="60" w:after="60"/>
      </w:pPr>
      <w:r>
        <w:t xml:space="preserve"/>
      </w:r>
    </w:p>
    <w:p>
      <w:pPr>
        <w:pStyle w:val="Heading1"/>
        <w:spacing w:before="360" w:after="180"/>
      </w:pPr>
      <w:r>
        <w:rPr>
          <w:rFonts w:ascii="Arial" w:cs="Arial" w:eastAsia="Arial" w:hAnsi="Arial"/>
          <w:b/>
          <w:bCs/>
          <w:color w:val="1F5C8B"/>
          <w:sz w:val="32"/>
          <w:szCs w:val="32"/>
        </w:rPr>
        <w:t xml:space="preserve">4. Alignment with ASHRAE and IRENA Frameworks</w:t>
      </w:r>
    </w:p>
    <w:p>
      <w:pPr>
        <w:pStyle w:val="Heading2"/>
        <w:spacing w:before="280" w:after="140"/>
      </w:pPr>
      <w:r>
        <w:rPr>
          <w:rFonts w:ascii="Arial" w:cs="Arial" w:eastAsia="Arial" w:hAnsi="Arial"/>
          <w:b/>
          <w:bCs/>
          <w:color w:val="2E75B6"/>
          <w:sz w:val="26"/>
          <w:szCs w:val="26"/>
        </w:rPr>
        <w:t xml:space="preserve">4.1 ASHRAE Standard 169 Climate Classification</w:t>
      </w:r>
    </w:p>
    <w:p>
      <w:pPr>
        <w:spacing w:before="80" w:after="120"/>
        <w:jc w:val="both"/>
      </w:pPr>
      <w:r>
        <w:rPr>
          <w:rFonts w:ascii="Arial" w:cs="Arial" w:eastAsia="Arial" w:hAnsi="Arial"/>
          <w:sz w:val="22"/>
          <w:szCs w:val="22"/>
        </w:rPr>
        <w:t xml:space="preserve">ASHRAE Standard 169 (Climatic Data for Building Design Standards) classifies global locations into thermal climate zones based on cooling degree-days (CDD base 10°C / 50°F) and heating degree-days. The 2018 CBECS explicitly adopts these zones for its own climate stratification. The relevant zones for the model's target cities are:</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960"/>
      </w:tblGrid>
      <w:tr>
        <w:trPr>
          <w:tblHeader/>
        </w:trPr>
        <w:tc>
          <w:tcPr>
            <w:tcW w:type="dxa" w:w="12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ASHRAE Zone</w:t>
            </w:r>
          </w:p>
        </w:tc>
        <w:tc>
          <w:tcPr>
            <w:tcW w:type="dxa" w:w="20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2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Target Cities</w:t>
            </w:r>
          </w:p>
        </w:tc>
        <w:tc>
          <w:tcPr>
            <w:tcW w:type="dxa" w:w="296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US CBECS Prevalence</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1A</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Very Hot – Humid</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Lagos, Accra</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Rare (S. Florida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Hot – Dry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Dakar (partially)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Near-absent in US</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2A</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Hot – Humid</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Kampala (partially)</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Texas, Gulf Coast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 – Dry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Addis Ababa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California, SW USA</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3C</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Warm – Marine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Nairobi (approx.)</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Pacific Coast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(mixed)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to Cool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Johannesburg (seasonal)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Majority of US CBECS</w:t>
            </w:r>
          </w:p>
        </w:tc>
      </w:tr>
    </w:tbl>
    <w:p>
      <w:pPr>
        <w:spacing w:before="60" w:after="60"/>
      </w:pPr>
      <w:r>
        <w:t xml:space="preserve"/>
      </w:r>
    </w:p>
    <w:p>
      <w:pPr>
        <w:spacing w:before="80" w:after="120"/>
        <w:jc w:val="both"/>
      </w:pPr>
      <w:r>
        <w:rPr>
          <w:rFonts w:ascii="Arial" w:cs="Arial" w:eastAsia="Arial" w:hAnsi="Arial"/>
          <w:sz w:val="22"/>
          <w:szCs w:val="22"/>
        </w:rPr>
        <w:t xml:space="preserve">The mismatch is stark: the majority of CBECS 2018 buildings—from which the Model 1 ML model is trained—reside in zones 4–6. The primary African target cities for SolarSense are in zones 1A–2A. ASHRAE 90.1 energy standards specify progressively more demanding cooling requirements as zone number decreases (i.e., hotter climates), confirming that unadjusted CBECS predictions would systematically underestimate energy consumption in these regions.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4.2 IRENA Evidence on Refrigeration Energy in Africa</w:t>
      </w:r>
    </w:p>
    <w:p>
      <w:pPr>
        <w:spacing w:before="80" w:after="120"/>
        <w:jc w:val="both"/>
      </w:pPr>
      <w:r>
        <w:rPr>
          <w:rFonts w:ascii="Arial" w:cs="Arial" w:eastAsia="Arial" w:hAnsi="Arial"/>
          <w:sz w:val="22"/>
          <w:szCs w:val="22"/>
        </w:rPr>
        <w:t xml:space="preserve">IRENA's publications on cooling and agri-food value chains provide corroborating evidence for the high refrigeration energy burden in Sub-Saharan Africa:</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Cold chain losses: </w:t>
      </w:r>
      <w:r>
        <w:rPr>
          <w:rFonts w:ascii="Arial" w:cs="Arial" w:eastAsia="Arial" w:hAnsi="Arial"/>
          <w:sz w:val="22"/>
          <w:szCs w:val="22"/>
        </w:rPr>
        <w:t xml:space="preserve">IRENA's 2021 Renewable Energy for Agri-Food Systems report notes that 37% of food products are lost in Sub-Saharan Africa in the 'first mile' between harvest and processing—a figure driven in part by inadequate and energy-inefficient refrigeration. This contextualises why food retail SMEs in the region operate refrigeration systems under high thermal stress, often using older or lower-efficiency equipment than assumed in US benchmarks (IRENA / FAO, 2021).</w:t>
      </w:r>
    </w:p>
    <w:p>
      <w:pPr>
        <w:pStyle w:val="ListParagraph"/>
        <w:numPr>
          <w:ilvl w:val="0"/>
          <w:numId w:val="2"/>
        </w:numPr>
        <w:spacing w:before="60" w:after="60"/>
      </w:pPr>
      <w:r>
        <w:rPr>
          <w:rFonts w:ascii="Arial" w:cs="Arial" w:eastAsia="Arial" w:hAnsi="Arial"/>
          <w:b/>
          <w:bCs/>
          <w:sz w:val="22"/>
          <w:szCs w:val="22"/>
        </w:rPr>
        <w:t xml:space="preserve">Cooling as a major energy end-use: </w:t>
      </w:r>
      <w:r>
        <w:rPr>
          <w:rFonts w:ascii="Arial" w:cs="Arial" w:eastAsia="Arial" w:hAnsi="Arial"/>
          <w:sz w:val="22"/>
          <w:szCs w:val="22"/>
        </w:rPr>
        <w:t xml:space="preserve">IRENA's heating and cooling policy reports identify space cooling and refrigeration as responsible for roughly half of building energy consumption in hot climates, compared to a much lower share in temperate US commercial buildings where heating dominates (IRENA / IEA / REN21, 2020).</w:t>
      </w:r>
    </w:p>
    <w:p>
      <w:pPr>
        <w:pStyle w:val="ListParagraph"/>
        <w:numPr>
          <w:ilvl w:val="0"/>
          <w:numId w:val="2"/>
        </w:numPr>
        <w:spacing w:before="60" w:after="60"/>
      </w:pPr>
      <w:r>
        <w:rPr>
          <w:rFonts w:ascii="Arial" w:cs="Arial" w:eastAsia="Arial" w:hAnsi="Arial"/>
          <w:b/>
          <w:bCs/>
          <w:sz w:val="22"/>
          <w:szCs w:val="22"/>
        </w:rPr>
        <w:t xml:space="preserve">Equipment efficiency gap: </w:t>
      </w:r>
      <w:r>
        <w:rPr>
          <w:rFonts w:ascii="Arial" w:cs="Arial" w:eastAsia="Arial" w:hAnsi="Arial"/>
          <w:sz w:val="22"/>
          <w:szCs w:val="22"/>
        </w:rPr>
        <w:t xml:space="preserve">IRENA and partner organisations have documented that commercial refrigeration equipment in African markets is frequently older, less efficient, and operated beyond rated ambient temperature ranges—all of which increase energy consumption beyond what CBECS-calibrated models would predict.</w:t>
      </w:r>
    </w:p>
    <w:p>
      <w:pPr>
        <w:spacing w:before="60" w:after="60"/>
      </w:pPr>
      <w:r>
        <w:t xml:space="preserve"/>
      </w:r>
    </w:p>
    <w:p>
      <w:pPr>
        <w:pStyle w:val="Heading1"/>
        <w:spacing w:before="360" w:after="180"/>
      </w:pPr>
      <w:r>
        <w:rPr>
          <w:rFonts w:ascii="Arial" w:cs="Arial" w:eastAsia="Arial" w:hAnsi="Arial"/>
          <w:b/>
          <w:bCs/>
          <w:color w:val="1F5C8B"/>
          <w:sz w:val="32"/>
          <w:szCs w:val="32"/>
        </w:rPr>
        <w:t xml:space="preserve">5. Quantitative Derivation and Validation Framework</w:t>
      </w:r>
    </w:p>
    <w:p>
      <w:pPr>
        <w:pStyle w:val="Heading2"/>
        <w:spacing w:before="280" w:after="140"/>
      </w:pPr>
      <w:r>
        <w:rPr>
          <w:rFonts w:ascii="Arial" w:cs="Arial" w:eastAsia="Arial" w:hAnsi="Arial"/>
          <w:b/>
          <w:bCs/>
          <w:color w:val="2E75B6"/>
          <w:sz w:val="26"/>
          <w:szCs w:val="26"/>
        </w:rPr>
        <w:t xml:space="preserve">5.1 How the Factors Were Derived</w:t>
      </w:r>
    </w:p>
    <w:p>
      <w:pPr>
        <w:spacing w:before="80" w:after="120"/>
        <w:jc w:val="both"/>
      </w:pPr>
      <w:r>
        <w:rPr>
          <w:rFonts w:ascii="Arial" w:cs="Arial" w:eastAsia="Arial" w:hAnsi="Arial"/>
          <w:sz w:val="22"/>
          <w:szCs w:val="22"/>
        </w:rPr>
        <w:t xml:space="preserve">The current climate adjustment factors were derived using the following methodology, which should be documented and referenced for any future revision:</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Step 1 – Identify CBECS baseline climate: </w:t>
      </w:r>
      <w:r>
        <w:rPr>
          <w:rFonts w:ascii="Arial" w:cs="Arial" w:eastAsia="Arial" w:hAnsi="Arial"/>
          <w:sz w:val="22"/>
          <w:szCs w:val="22"/>
        </w:rPr>
        <w:t xml:space="preserve">The CBECS 2018 food retail (PBA 11/12) sample weighted mean climate was estimated to be approximately equivalent to a mid-Atlantic / South-Central US profile—roughly ASHRAE zones 3A–4A, with annual mean temperatures in the range 15–20°C.</w:t>
      </w:r>
    </w:p>
    <w:p>
      <w:pPr>
        <w:pStyle w:val="ListParagraph"/>
        <w:numPr>
          <w:ilvl w:val="0"/>
          <w:numId w:val="2"/>
        </w:numPr>
        <w:spacing w:before="60" w:after="60"/>
      </w:pPr>
      <w:r>
        <w:rPr>
          <w:rFonts w:ascii="Arial" w:cs="Arial" w:eastAsia="Arial" w:hAnsi="Arial"/>
          <w:b/>
          <w:bCs/>
          <w:sz w:val="22"/>
          <w:szCs w:val="22"/>
        </w:rPr>
        <w:t xml:space="preserve">Step 2 – Estimate condenser temperature differential: </w:t>
      </w:r>
      <w:r>
        <w:rPr>
          <w:rFonts w:ascii="Arial" w:cs="Arial" w:eastAsia="Arial" w:hAnsi="Arial"/>
          <w:sz w:val="22"/>
          <w:szCs w:val="22"/>
        </w:rPr>
        <w:t xml:space="preserve">Using Carnot-consistent approximations and published performance data for commercial refrigeration, the COP penalty for each African climate was estimated relative to this US baseline. Lagos, operating at ~28–29°C annual mean vs. ~17°C US baseline, faces a condensing temperature that is approximately 10–12°C higher year-round.</w:t>
      </w:r>
    </w:p>
    <w:p>
      <w:pPr>
        <w:pStyle w:val="ListParagraph"/>
        <w:numPr>
          <w:ilvl w:val="0"/>
          <w:numId w:val="2"/>
        </w:numPr>
        <w:spacing w:before="60" w:after="60"/>
      </w:pPr>
      <w:r>
        <w:rPr>
          <w:rFonts w:ascii="Arial" w:cs="Arial" w:eastAsia="Arial" w:hAnsi="Arial"/>
          <w:b/>
          <w:bCs/>
          <w:sz w:val="22"/>
          <w:szCs w:val="22"/>
        </w:rPr>
        <w:t xml:space="preserve">Step 3 – Add latent and operational load corrections: </w:t>
      </w:r>
      <w:r>
        <w:rPr>
          <w:rFonts w:ascii="Arial" w:cs="Arial" w:eastAsia="Arial" w:hAnsi="Arial"/>
          <w:sz w:val="22"/>
          <w:szCs w:val="22"/>
        </w:rPr>
        <w:t xml:space="preserve">The humidity-driven latent load increase and extended operating duration under non-ideal conditions were estimated from literature (e.g., supermarket studies showing 9.25% refrigeration load change per 5% relative humidity change).</w:t>
      </w:r>
    </w:p>
    <w:p>
      <w:pPr>
        <w:pStyle w:val="ListParagraph"/>
        <w:numPr>
          <w:ilvl w:val="0"/>
          <w:numId w:val="2"/>
        </w:numPr>
        <w:spacing w:before="60" w:after="60"/>
      </w:pPr>
      <w:r>
        <w:rPr>
          <w:rFonts w:ascii="Arial" w:cs="Arial" w:eastAsia="Arial" w:hAnsi="Arial"/>
          <w:b/>
          <w:bCs/>
          <w:sz w:val="22"/>
          <w:szCs w:val="22"/>
        </w:rPr>
        <w:t xml:space="preserve">Step 4 – Scale to a multiplier: </w:t>
      </w:r>
      <w:r>
        <w:rPr>
          <w:rFonts w:ascii="Arial" w:cs="Arial" w:eastAsia="Arial" w:hAnsi="Arial"/>
          <w:sz w:val="22"/>
          <w:szCs w:val="22"/>
        </w:rPr>
        <w:t xml:space="preserve">Combining temperature and humidity penalties, the total uplift factors were estimated. These are intentionally rounded to the nearest 0.05 to reflect the uncertainty in the derivation and to avoid false precision.</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5.2 Validation Against Known References</w:t>
      </w:r>
    </w:p>
    <w:p>
      <w:pPr>
        <w:spacing w:before="80" w:after="120"/>
        <w:jc w:val="both"/>
      </w:pPr>
      <w:r>
        <w:rPr>
          <w:rFonts w:ascii="Arial" w:cs="Arial" w:eastAsia="Arial" w:hAnsi="Arial"/>
          <w:sz w:val="22"/>
          <w:szCs w:val="22"/>
        </w:rPr>
        <w:t xml:space="preserve">The factors are broadly consistent with the following reference points: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Refrigeration system COP reduction of ~18% observed when ambient temperature increases from 32°C to 40°C (Star Refrigeration, 2025) — consistent with the upper end of the Lagos factor.</w:t>
      </w:r>
    </w:p>
    <w:p>
      <w:pPr>
        <w:pStyle w:val="ListParagraph"/>
        <w:numPr>
          <w:ilvl w:val="0"/>
          <w:numId w:val="2"/>
        </w:numPr>
        <w:spacing w:before="60" w:after="60"/>
      </w:pPr>
      <w:r>
        <w:rPr>
          <w:rFonts w:ascii="Arial" w:cs="Arial" w:eastAsia="Arial" w:hAnsi="Arial"/>
          <w:sz w:val="22"/>
          <w:szCs w:val="22"/>
        </w:rPr>
        <w:t xml:space="preserve">Compressor energy increase of ~15% at 28°C ambient vs. 20°C baseline in controlled experiments (Heliyon / PMC, 2024).</w:t>
      </w:r>
    </w:p>
    <w:p>
      <w:pPr>
        <w:pStyle w:val="ListParagraph"/>
        <w:numPr>
          <w:ilvl w:val="0"/>
          <w:numId w:val="2"/>
        </w:numPr>
        <w:spacing w:before="60" w:after="60"/>
      </w:pPr>
      <w:r>
        <w:rPr>
          <w:rFonts w:ascii="Arial" w:cs="Arial" w:eastAsia="Arial" w:hAnsi="Arial"/>
          <w:sz w:val="22"/>
          <w:szCs w:val="22"/>
        </w:rPr>
        <w:t xml:space="preserve">Commercial refrigeration in West Africa (including Nigeria) estimated to consume 50–80% of total building electricity, versus 30–40% in US food retail buildings per CBECS — suggesting a structural uplift factor of 1.25–1.35 for refrigeration-dominated businesses in this climate (JOCET, 2020).</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5.3 Known Limitations of the Current Factors</w:t>
      </w:r>
    </w:p>
    <w:p>
      <w:pPr>
        <w:spacing w:before="80" w:after="120"/>
        <w:jc w:val="both"/>
      </w:pPr>
      <w:r>
        <w:rPr>
          <w:rFonts w:ascii="Arial" w:cs="Arial" w:eastAsia="Arial" w:hAnsi="Arial"/>
          <w:sz w:val="22"/>
          <w:szCs w:val="22"/>
        </w:rPr>
        <w:t xml:space="preserve">The following limitations should be acknowledged and addressed in future iterations:</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Heuristic, not empirically calibrated: </w:t>
      </w:r>
      <w:r>
        <w:rPr>
          <w:rFonts w:ascii="Arial" w:cs="Arial" w:eastAsia="Arial" w:hAnsi="Arial"/>
          <w:sz w:val="22"/>
          <w:szCs w:val="22"/>
        </w:rPr>
        <w:t xml:space="preserve">The factors are derived from secondary literature and thermodynamic reasoning, not from direct measurement of African SME energy consumption. They should be treated as informed engineering estimates, not validated empirical constants.</w:t>
      </w:r>
    </w:p>
    <w:p>
      <w:pPr>
        <w:pStyle w:val="ListParagraph"/>
        <w:numPr>
          <w:ilvl w:val="0"/>
          <w:numId w:val="2"/>
        </w:numPr>
        <w:spacing w:before="60" w:after="60"/>
      </w:pPr>
      <w:r>
        <w:rPr>
          <w:rFonts w:ascii="Arial" w:cs="Arial" w:eastAsia="Arial" w:hAnsi="Arial"/>
          <w:b/>
          <w:bCs/>
          <w:sz w:val="22"/>
          <w:szCs w:val="22"/>
        </w:rPr>
        <w:t xml:space="preserve">City-level granularity only: </w:t>
      </w:r>
      <w:r>
        <w:rPr>
          <w:rFonts w:ascii="Arial" w:cs="Arial" w:eastAsia="Arial" w:hAnsi="Arial"/>
          <w:sz w:val="22"/>
          <w:szCs w:val="22"/>
        </w:rPr>
        <w:t xml:space="preserve">Significant within-city variation exists (e.g., altitude differences within Nairobi, urban heat island effects in Lagos). A single city-level factor cannot capture this variation.</w:t>
      </w:r>
    </w:p>
    <w:p>
      <w:pPr>
        <w:pStyle w:val="ListParagraph"/>
        <w:numPr>
          <w:ilvl w:val="0"/>
          <w:numId w:val="2"/>
        </w:numPr>
        <w:spacing w:before="60" w:after="60"/>
      </w:pPr>
      <w:r>
        <w:rPr>
          <w:rFonts w:ascii="Arial" w:cs="Arial" w:eastAsia="Arial" w:hAnsi="Arial"/>
          <w:b/>
          <w:bCs/>
          <w:sz w:val="22"/>
          <w:szCs w:val="22"/>
        </w:rPr>
        <w:t xml:space="preserve">Static factors: </w:t>
      </w:r>
      <w:r>
        <w:rPr>
          <w:rFonts w:ascii="Arial" w:cs="Arial" w:eastAsia="Arial" w:hAnsi="Arial"/>
          <w:sz w:val="22"/>
          <w:szCs w:val="22"/>
        </w:rPr>
        <w:t xml:space="preserve">Climate change is increasing temperatures across Sub-Saharan Africa. Fixed factors will increasingly underestimate energy consumption over time without periodic revision.</w:t>
      </w:r>
    </w:p>
    <w:p>
      <w:pPr>
        <w:pStyle w:val="ListParagraph"/>
        <w:numPr>
          <w:ilvl w:val="0"/>
          <w:numId w:val="2"/>
        </w:numPr>
        <w:spacing w:before="60" w:after="60"/>
      </w:pPr>
      <w:r>
        <w:rPr>
          <w:rFonts w:ascii="Arial" w:cs="Arial" w:eastAsia="Arial" w:hAnsi="Arial"/>
          <w:b/>
          <w:bCs/>
          <w:sz w:val="22"/>
          <w:szCs w:val="22"/>
        </w:rPr>
        <w:t xml:space="preserve">No equipment-specific calibration: </w:t>
      </w:r>
      <w:r>
        <w:rPr>
          <w:rFonts w:ascii="Arial" w:cs="Arial" w:eastAsia="Arial" w:hAnsi="Arial"/>
          <w:sz w:val="22"/>
          <w:szCs w:val="22"/>
        </w:rPr>
        <w:t xml:space="preserve">The factors assume average refrigeration equipment efficiency. Butcheries or grocery stores with older, poorly maintained equipment in Lagos may face materially higher factors.</w:t>
      </w:r>
    </w:p>
    <w:p>
      <w:pPr>
        <w:pStyle w:val="ListParagraph"/>
        <w:numPr>
          <w:ilvl w:val="0"/>
          <w:numId w:val="2"/>
        </w:numPr>
        <w:spacing w:before="60" w:after="60"/>
      </w:pPr>
      <w:r>
        <w:rPr>
          <w:rFonts w:ascii="Arial" w:cs="Arial" w:eastAsia="Arial" w:hAnsi="Arial"/>
          <w:b/>
          <w:bCs/>
          <w:sz w:val="22"/>
          <w:szCs w:val="22"/>
        </w:rPr>
        <w:t xml:space="preserve">Grid reliability not captured: </w:t>
      </w:r>
      <w:r>
        <w:rPr>
          <w:rFonts w:ascii="Arial" w:cs="Arial" w:eastAsia="Arial" w:hAnsi="Arial"/>
          <w:sz w:val="22"/>
          <w:szCs w:val="22"/>
        </w:rPr>
        <w:t xml:space="preserve">In cities with frequent power outages, businesses often rely on generators with different thermal characteristics and load profiles. This is not reflected in the current factors.</w:t>
      </w:r>
    </w:p>
    <w:p>
      <w:pPr>
        <w:spacing w:before="60" w:after="60"/>
      </w:pPr>
      <w:r>
        <w:t xml:space="preserve"/>
      </w:r>
    </w:p>
    <w:p>
      <w:pPr>
        <w:pStyle w:val="Heading1"/>
        <w:spacing w:before="360" w:after="180"/>
      </w:pPr>
      <w:r>
        <w:rPr>
          <w:rFonts w:ascii="Arial" w:cs="Arial" w:eastAsia="Arial" w:hAnsi="Arial"/>
          <w:b/>
          <w:bCs/>
          <w:color w:val="1F5C8B"/>
          <w:sz w:val="32"/>
          <w:szCs w:val="32"/>
        </w:rPr>
        <w:t xml:space="preserve">6. Recommendations for Future Improvement</w:t>
      </w:r>
    </w:p>
    <w:p>
      <w:pPr>
        <w:spacing w:before="60" w:after="60"/>
      </w:pPr>
      <w:r>
        <w:t xml:space="preserve"/>
      </w:r>
    </w:p>
    <w:p>
      <w:pPr>
        <w:spacing w:before="80" w:after="120"/>
        <w:jc w:val="both"/>
      </w:pPr>
      <w:r>
        <w:rPr>
          <w:rFonts w:ascii="Arial" w:cs="Arial" w:eastAsia="Arial" w:hAnsi="Arial"/>
          <w:sz w:val="22"/>
          <w:szCs w:val="22"/>
        </w:rPr>
        <w:t xml:space="preserve">The following steps are recommended to move from heuristic to empirically grounded climate adjustment factors:</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Primary data collection: </w:t>
      </w:r>
      <w:r>
        <w:rPr>
          <w:rFonts w:ascii="Arial" w:cs="Arial" w:eastAsia="Arial" w:hAnsi="Arial"/>
          <w:sz w:val="22"/>
          <w:szCs w:val="22"/>
        </w:rPr>
        <w:t xml:space="preserve">Partner with 20–50 food retail SMEs across Lagos, Nairobi, and Accra to collect smart meter data over at least 6 months. This would allow empirical calibration of the factors against real-world consumption data.</w:t>
      </w:r>
    </w:p>
    <w:p>
      <w:pPr>
        <w:pStyle w:val="ListParagraph"/>
        <w:numPr>
          <w:ilvl w:val="0"/>
          <w:numId w:val="2"/>
        </w:numPr>
        <w:spacing w:before="60" w:after="60"/>
      </w:pPr>
      <w:r>
        <w:rPr>
          <w:rFonts w:ascii="Arial" w:cs="Arial" w:eastAsia="Arial" w:hAnsi="Arial"/>
          <w:b/>
          <w:bCs/>
          <w:sz w:val="22"/>
          <w:szCs w:val="22"/>
        </w:rPr>
        <w:t xml:space="preserve">NASA POWER integration: </w:t>
      </w:r>
      <w:r>
        <w:rPr>
          <w:rFonts w:ascii="Arial" w:cs="Arial" w:eastAsia="Arial" w:hAnsi="Arial"/>
          <w:sz w:val="22"/>
          <w:szCs w:val="22"/>
        </w:rPr>
        <w:t xml:space="preserve">The Model 2 team has already demonstrated use of NASA POWER API for solar generation data. The same API provides GHI and temperature data that could be used to compute cooling degree-hours for any coordinate, enabling continuous rather than discrete city-level climate adjustment.</w:t>
      </w:r>
    </w:p>
    <w:p>
      <w:pPr>
        <w:pStyle w:val="ListParagraph"/>
        <w:numPr>
          <w:ilvl w:val="0"/>
          <w:numId w:val="2"/>
        </w:numPr>
        <w:spacing w:before="60" w:after="60"/>
      </w:pPr>
      <w:r>
        <w:rPr>
          <w:rFonts w:ascii="Arial" w:cs="Arial" w:eastAsia="Arial" w:hAnsi="Arial"/>
          <w:b/>
          <w:bCs/>
          <w:sz w:val="22"/>
          <w:szCs w:val="22"/>
        </w:rPr>
        <w:t xml:space="preserve">Seasonal disaggregation: </w:t>
      </w:r>
      <w:r>
        <w:rPr>
          <w:rFonts w:ascii="Arial" w:cs="Arial" w:eastAsia="Arial" w:hAnsi="Arial"/>
          <w:sz w:val="22"/>
          <w:szCs w:val="22"/>
        </w:rPr>
        <w:t xml:space="preserve">Derive monthly rather than annual factors, as the seasonal swing in Lagos (dry season peak ~33°C vs. rainy season ~27°C) affects refrigeration energy materially within the year.</w:t>
      </w:r>
    </w:p>
    <w:p>
      <w:pPr>
        <w:pStyle w:val="ListParagraph"/>
        <w:numPr>
          <w:ilvl w:val="0"/>
          <w:numId w:val="2"/>
        </w:numPr>
        <w:spacing w:before="60" w:after="60"/>
      </w:pPr>
      <w:r>
        <w:rPr>
          <w:rFonts w:ascii="Arial" w:cs="Arial" w:eastAsia="Arial" w:hAnsi="Arial"/>
          <w:b/>
          <w:bCs/>
          <w:sz w:val="22"/>
          <w:szCs w:val="22"/>
        </w:rPr>
        <w:t xml:space="preserve">ASHRAE 169 zone lookup: </w:t>
      </w:r>
      <w:r>
        <w:rPr>
          <w:rFonts w:ascii="Arial" w:cs="Arial" w:eastAsia="Arial" w:hAnsi="Arial"/>
          <w:sz w:val="22"/>
          <w:szCs w:val="22"/>
        </w:rPr>
        <w:t xml:space="preserve">Replace the city-substring lookup with an ASHRAE 169 zone lookup by coordinates, which would be more systematic and extensible to locations outside the current city list.</w:t>
      </w:r>
    </w:p>
    <w:p>
      <w:pPr>
        <w:pStyle w:val="ListParagraph"/>
        <w:numPr>
          <w:ilvl w:val="0"/>
          <w:numId w:val="2"/>
        </w:numPr>
        <w:spacing w:before="60" w:after="60"/>
      </w:pPr>
      <w:r>
        <w:rPr>
          <w:rFonts w:ascii="Arial" w:cs="Arial" w:eastAsia="Arial" w:hAnsi="Arial"/>
          <w:b/>
          <w:bCs/>
          <w:sz w:val="22"/>
          <w:szCs w:val="22"/>
        </w:rPr>
        <w:t xml:space="preserve">Third-party validation: </w:t>
      </w:r>
      <w:r>
        <w:rPr>
          <w:rFonts w:ascii="Arial" w:cs="Arial" w:eastAsia="Arial" w:hAnsi="Arial"/>
          <w:sz w:val="22"/>
          <w:szCs w:val="22"/>
        </w:rPr>
        <w:t xml:space="preserve">Engage an HVACR engineering consultant with Sub-Saharan Africa experience (e.g., through GIZ Green Cooling Initiative or CLASP network) to review and sign off on the factor methodology.</w:t>
      </w:r>
    </w:p>
    <w:p>
      <w:pPr>
        <w:spacing w:before="60" w:after="60"/>
      </w:pPr>
      <w:r>
        <w:t xml:space="preserve"/>
      </w:r>
    </w:p>
    <w:p>
      <w:pPr>
        <w:pStyle w:val="Heading1"/>
        <w:spacing w:before="360" w:after="180"/>
      </w:pPr>
      <w:r>
        <w:rPr>
          <w:rFonts w:ascii="Arial" w:cs="Arial" w:eastAsia="Arial" w:hAnsi="Arial"/>
          <w:b/>
          <w:bCs/>
          <w:color w:val="1F5C8B"/>
          <w:sz w:val="32"/>
          <w:szCs w:val="32"/>
        </w:rPr>
        <w:t xml:space="preserve">7. References</w:t>
      </w:r>
    </w:p>
    <w:p>
      <w:pPr>
        <w:spacing w:before="60" w:after="60"/>
      </w:pPr>
      <w:r>
        <w:t xml:space="preserve"/>
      </w:r>
    </w:p>
    <w:p>
      <w:pPr>
        <w:spacing w:before="80" w:after="120"/>
        <w:jc w:val="both"/>
      </w:pPr>
      <w:r>
        <w:rPr>
          <w:rFonts w:ascii="Arial" w:cs="Arial" w:eastAsia="Arial" w:hAnsi="Arial"/>
          <w:b/>
          <w:bCs/>
          <w:sz w:val="22"/>
          <w:szCs w:val="22"/>
        </w:rPr>
        <w:t xml:space="preserve">ASHRAE Standard 169-2021 (Addendum a, 2021). </w:t>
      </w:r>
      <w:r>
        <w:rPr>
          <w:rFonts w:ascii="Arial" w:cs="Arial" w:eastAsia="Arial" w:hAnsi="Arial"/>
          <w:sz w:val="22"/>
          <w:szCs w:val="22"/>
        </w:rPr>
        <w:t xml:space="preserve">Climatic Data for Building Design Standards. American Society of Heating, Refrigerating and Air-Conditioning Engineers. Referenced in CBECS 2018 climate zone methodology.</w:t>
      </w:r>
    </w:p>
    <w:p>
      <w:pPr>
        <w:spacing w:before="60" w:after="60"/>
      </w:pPr>
      <w:r>
        <w:t xml:space="preserve"/>
      </w:r>
    </w:p>
    <w:p>
      <w:pPr>
        <w:spacing w:before="80" w:after="120"/>
        <w:jc w:val="both"/>
      </w:pPr>
      <w:r>
        <w:rPr>
          <w:rFonts w:ascii="Arial" w:cs="Arial" w:eastAsia="Arial" w:hAnsi="Arial"/>
          <w:b/>
          <w:bCs/>
          <w:sz w:val="22"/>
          <w:szCs w:val="22"/>
        </w:rPr>
        <w:t xml:space="preserve">CLASP / SEforALL (2023). </w:t>
      </w:r>
      <w:r>
        <w:rPr>
          <w:rFonts w:ascii="Arial" w:cs="Arial" w:eastAsia="Arial" w:hAnsi="Arial"/>
          <w:sz w:val="22"/>
          <w:szCs w:val="22"/>
        </w:rPr>
        <w:t xml:space="preserve">Kenya Launches First National Cooling Action Plan. Collaborative Labeling and Appliance Standards Program. Available: clasp.ngo</w:t>
      </w:r>
    </w:p>
    <w:p>
      <w:pPr>
        <w:spacing w:before="60" w:after="60"/>
      </w:pPr>
      <w:r>
        <w:t xml:space="preserve"/>
      </w:r>
    </w:p>
    <w:p>
      <w:pPr>
        <w:spacing w:before="80" w:after="120"/>
        <w:jc w:val="both"/>
      </w:pPr>
      <w:r>
        <w:rPr>
          <w:rFonts w:ascii="Arial" w:cs="Arial" w:eastAsia="Arial" w:hAnsi="Arial"/>
          <w:b/>
          <w:bCs/>
          <w:sz w:val="22"/>
          <w:szCs w:val="22"/>
        </w:rPr>
        <w:t xml:space="preserve">Climates to Travel (2025). </w:t>
      </w:r>
      <w:r>
        <w:rPr>
          <w:rFonts w:ascii="Arial" w:cs="Arial" w:eastAsia="Arial" w:hAnsi="Arial"/>
          <w:sz w:val="22"/>
          <w:szCs w:val="22"/>
        </w:rPr>
        <w:t xml:space="preserve">Climate of Lagos, Nigeria. Available: climatestotravel.com</w:t>
      </w:r>
    </w:p>
    <w:p>
      <w:pPr>
        <w:spacing w:before="60" w:after="60"/>
      </w:pPr>
      <w:r>
        <w:t xml:space="preserve"/>
      </w:r>
    </w:p>
    <w:p>
      <w:pPr>
        <w:spacing w:before="80" w:after="120"/>
        <w:jc w:val="both"/>
      </w:pPr>
      <w:r>
        <w:rPr>
          <w:rFonts w:ascii="Arial" w:cs="Arial" w:eastAsia="Arial" w:hAnsi="Arial"/>
          <w:b/>
          <w:bCs/>
          <w:sz w:val="22"/>
          <w:szCs w:val="22"/>
        </w:rPr>
        <w:t xml:space="preserve">Fischer, S.K. &amp; Rice, C.K. (2012). </w:t>
      </w:r>
      <w:r>
        <w:rPr>
          <w:rFonts w:ascii="Arial" w:cs="Arial" w:eastAsia="Arial" w:hAnsi="Arial"/>
          <w:sz w:val="22"/>
          <w:szCs w:val="22"/>
        </w:rPr>
        <w:t xml:space="preserve">Analysis of energy savings in a supermarket refrigeration/HVAC system. Applied Energy. ScienceDirect.</w:t>
      </w:r>
    </w:p>
    <w:p>
      <w:pPr>
        <w:spacing w:before="60" w:after="60"/>
      </w:pPr>
      <w:r>
        <w:t xml:space="preserve"/>
      </w:r>
    </w:p>
    <w:p>
      <w:pPr>
        <w:spacing w:before="80" w:after="120"/>
        <w:jc w:val="both"/>
      </w:pPr>
      <w:r>
        <w:rPr>
          <w:rFonts w:ascii="Arial" w:cs="Arial" w:eastAsia="Arial" w:hAnsi="Arial"/>
          <w:b/>
          <w:bCs/>
          <w:sz w:val="22"/>
          <w:szCs w:val="22"/>
        </w:rPr>
        <w:t xml:space="preserve">IRENA / FAO (2021). </w:t>
      </w:r>
      <w:r>
        <w:rPr>
          <w:rFonts w:ascii="Arial" w:cs="Arial" w:eastAsia="Arial" w:hAnsi="Arial"/>
          <w:sz w:val="22"/>
          <w:szCs w:val="22"/>
        </w:rPr>
        <w:t xml:space="preserve">Renewable Energy for Agri-Food Systems. International Renewable Energy Agency / Food and Agriculture Organisation.</w:t>
      </w:r>
    </w:p>
    <w:p>
      <w:pPr>
        <w:spacing w:before="60" w:after="60"/>
      </w:pPr>
      <w:r>
        <w:t xml:space="preserve"/>
      </w:r>
    </w:p>
    <w:p>
      <w:pPr>
        <w:spacing w:before="80" w:after="120"/>
        <w:jc w:val="both"/>
      </w:pPr>
      <w:r>
        <w:rPr>
          <w:rFonts w:ascii="Arial" w:cs="Arial" w:eastAsia="Arial" w:hAnsi="Arial"/>
          <w:b/>
          <w:bCs/>
          <w:sz w:val="22"/>
          <w:szCs w:val="22"/>
        </w:rPr>
        <w:t xml:space="preserve">IRENA / IEA / REN21 (2020). </w:t>
      </w:r>
      <w:r>
        <w:rPr>
          <w:rFonts w:ascii="Arial" w:cs="Arial" w:eastAsia="Arial" w:hAnsi="Arial"/>
          <w:sz w:val="22"/>
          <w:szCs w:val="22"/>
        </w:rPr>
        <w:t xml:space="preserve">Renewable Energy Policies in a Time of Transition: Heating and Cooling. International Renewable Energy Agency.</w:t>
      </w:r>
    </w:p>
    <w:p>
      <w:pPr>
        <w:spacing w:before="60" w:after="60"/>
      </w:pPr>
      <w:r>
        <w:t xml:space="preserve"/>
      </w:r>
    </w:p>
    <w:p>
      <w:pPr>
        <w:spacing w:before="80" w:after="120"/>
        <w:jc w:val="both"/>
      </w:pPr>
      <w:r>
        <w:rPr>
          <w:rFonts w:ascii="Arial" w:cs="Arial" w:eastAsia="Arial" w:hAnsi="Arial"/>
          <w:b/>
          <w:bCs/>
          <w:sz w:val="22"/>
          <w:szCs w:val="22"/>
        </w:rPr>
        <w:t xml:space="preserve">JOCET (2020). </w:t>
      </w:r>
      <w:r>
        <w:rPr>
          <w:rFonts w:ascii="Arial" w:cs="Arial" w:eastAsia="Arial" w:hAnsi="Arial"/>
          <w:sz w:val="22"/>
          <w:szCs w:val="22"/>
        </w:rPr>
        <w:t xml:space="preserve">Cooling Degree Days for Estimating Energy Consumption in Air Conditioning Systems in Nigeria. Journal of Clean Energy Technologies, Vol. 8, No. 1.</w:t>
      </w:r>
    </w:p>
    <w:p>
      <w:pPr>
        <w:spacing w:before="60" w:after="60"/>
      </w:pPr>
      <w:r>
        <w:t xml:space="preserve"/>
      </w:r>
    </w:p>
    <w:p>
      <w:pPr>
        <w:spacing w:before="80" w:after="120"/>
        <w:jc w:val="both"/>
      </w:pPr>
      <w:r>
        <w:rPr>
          <w:rFonts w:ascii="Arial" w:cs="Arial" w:eastAsia="Arial" w:hAnsi="Arial"/>
          <w:b/>
          <w:bCs/>
          <w:sz w:val="22"/>
          <w:szCs w:val="22"/>
        </w:rPr>
        <w:t xml:space="preserve">PMC / Heliyon (2024). </w:t>
      </w:r>
      <w:r>
        <w:rPr>
          <w:rFonts w:ascii="Arial" w:cs="Arial" w:eastAsia="Arial" w:hAnsi="Arial"/>
          <w:sz w:val="22"/>
          <w:szCs w:val="22"/>
        </w:rPr>
        <w:t xml:space="preserve">Performance assessment of a refrigeration system with an integrated condenser under different environmental conditions. Heliyon, Vol. 10, e29226. doi: 10.1016/j.heliyon.2024.e29226</w:t>
      </w:r>
    </w:p>
    <w:p>
      <w:pPr>
        <w:spacing w:before="60" w:after="60"/>
      </w:pPr>
      <w:r>
        <w:t xml:space="preserve"/>
      </w:r>
    </w:p>
    <w:p>
      <w:pPr>
        <w:spacing w:before="80" w:after="120"/>
        <w:jc w:val="both"/>
      </w:pPr>
      <w:r>
        <w:rPr>
          <w:rFonts w:ascii="Arial" w:cs="Arial" w:eastAsia="Arial" w:hAnsi="Arial"/>
          <w:b/>
          <w:bCs/>
          <w:sz w:val="22"/>
          <w:szCs w:val="22"/>
        </w:rPr>
        <w:t xml:space="preserve">ScienceDirect (2025). </w:t>
      </w:r>
      <w:r>
        <w:rPr>
          <w:rFonts w:ascii="Arial" w:cs="Arial" w:eastAsia="Arial" w:hAnsi="Arial"/>
          <w:sz w:val="22"/>
          <w:szCs w:val="22"/>
        </w:rPr>
        <w:t xml:space="preserve">Rising heat, rising challenges: Cooling and heating dynamics in Lagos amid global warming. Elsevier.</w:t>
      </w:r>
    </w:p>
    <w:p>
      <w:pPr>
        <w:spacing w:before="60" w:after="60"/>
      </w:pPr>
      <w:r>
        <w:t xml:space="preserve"/>
      </w:r>
    </w:p>
    <w:p>
      <w:pPr>
        <w:spacing w:before="80" w:after="120"/>
        <w:jc w:val="both"/>
      </w:pPr>
      <w:r>
        <w:rPr>
          <w:rFonts w:ascii="Arial" w:cs="Arial" w:eastAsia="Arial" w:hAnsi="Arial"/>
          <w:b/>
          <w:bCs/>
          <w:sz w:val="22"/>
          <w:szCs w:val="22"/>
        </w:rPr>
        <w:t xml:space="preserve">SEforALL / GIZ (2023). </w:t>
      </w:r>
      <w:r>
        <w:rPr>
          <w:rFonts w:ascii="Arial" w:cs="Arial" w:eastAsia="Arial" w:hAnsi="Arial"/>
          <w:sz w:val="22"/>
          <w:szCs w:val="22"/>
        </w:rPr>
        <w:t xml:space="preserve">Country Brief: Sustainable Cooling for All in Kenya. Sustainable Energy for All.</w:t>
      </w:r>
    </w:p>
    <w:p>
      <w:pPr>
        <w:spacing w:before="60" w:after="60"/>
      </w:pPr>
      <w:r>
        <w:t xml:space="preserve"/>
      </w:r>
    </w:p>
    <w:p>
      <w:pPr>
        <w:spacing w:before="80" w:after="120"/>
        <w:jc w:val="both"/>
      </w:pPr>
      <w:r>
        <w:rPr>
          <w:rFonts w:ascii="Arial" w:cs="Arial" w:eastAsia="Arial" w:hAnsi="Arial"/>
          <w:b/>
          <w:bCs/>
          <w:sz w:val="22"/>
          <w:szCs w:val="22"/>
        </w:rPr>
        <w:t xml:space="preserve">SIS Refrigeration (2024). </w:t>
      </w:r>
      <w:r>
        <w:rPr>
          <w:rFonts w:ascii="Arial" w:cs="Arial" w:eastAsia="Arial" w:hAnsi="Arial"/>
          <w:sz w:val="22"/>
          <w:szCs w:val="22"/>
        </w:rPr>
        <w:t xml:space="preserve">Choosing the Right Climate Class for Your Refrigeration Equipment.</w:t>
      </w:r>
    </w:p>
    <w:p>
      <w:pPr>
        <w:spacing w:before="60" w:after="60"/>
      </w:pPr>
      <w:r>
        <w:t xml:space="preserve"/>
      </w:r>
    </w:p>
    <w:p>
      <w:pPr>
        <w:spacing w:before="80" w:after="120"/>
        <w:jc w:val="both"/>
      </w:pPr>
      <w:r>
        <w:rPr>
          <w:rFonts w:ascii="Arial" w:cs="Arial" w:eastAsia="Arial" w:hAnsi="Arial"/>
          <w:b/>
          <w:bCs/>
          <w:sz w:val="22"/>
          <w:szCs w:val="22"/>
        </w:rPr>
        <w:t xml:space="preserve">Star Refrigeration (2025). </w:t>
      </w:r>
      <w:r>
        <w:rPr>
          <w:rFonts w:ascii="Arial" w:cs="Arial" w:eastAsia="Arial" w:hAnsi="Arial"/>
          <w:sz w:val="22"/>
          <w:szCs w:val="22"/>
        </w:rPr>
        <w:t xml:space="preserve">Coping with high ambient temperatures: Strategies for refrigeration plant owners. Available: star-ref.co.uk</w:t>
      </w:r>
    </w:p>
    <w:p>
      <w:pPr>
        <w:spacing w:before="60" w:after="60"/>
      </w:pPr>
      <w:r>
        <w:t xml:space="preserve"/>
      </w:r>
    </w:p>
    <w:p>
      <w:pPr>
        <w:spacing w:before="80" w:after="120"/>
        <w:jc w:val="both"/>
      </w:pPr>
      <w:r>
        <w:rPr>
          <w:rFonts w:ascii="Arial" w:cs="Arial" w:eastAsia="Arial" w:hAnsi="Arial"/>
          <w:b/>
          <w:bCs/>
          <w:sz w:val="22"/>
          <w:szCs w:val="22"/>
        </w:rPr>
        <w:t xml:space="preserve">Tandfonline (2025). </w:t>
      </w:r>
      <w:r>
        <w:rPr>
          <w:rFonts w:ascii="Arial" w:cs="Arial" w:eastAsia="Arial" w:hAnsi="Arial"/>
          <w:sz w:val="22"/>
          <w:szCs w:val="22"/>
        </w:rPr>
        <w:t xml:space="preserve">Outdoor cooling and heating design values for energy management in Nigeria's air-conditioning industry. Cogent Engineering.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Confidential – Internal Technical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SolarSense DSE | Model 1 Climate Adjustment Factor Justification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5C8B"/>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2026-02-20T17:12:19.947Z</dcterms:created>
  <dcterms:modified xsi:type="dcterms:W3CDTF">2026-02-20T17:12:19.948Z</dcterms:modified>
</cp:coreProperties>
</file>

<file path=docProps/custom.xml><?xml version="1.0" encoding="utf-8"?>
<Properties xmlns="http://schemas.openxmlformats.org/officeDocument/2006/custom-properties" xmlns:vt="http://schemas.openxmlformats.org/officeDocument/2006/docPropsVTypes"/>
</file>