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SALES PERFORMANCE</w:t>
      </w:r>
    </w:p>
    <w:p>
      <w:pPr>
        <w:spacing w:after="400"/>
        <w:jc w:val="center"/>
      </w:pPr>
      <w:r>
        <w:rPr>
          <w:b/>
          <w:bCs/>
          <w:color w:val="2E5EAA"/>
          <w:sz w:val="44"/>
          <w:szCs w:val="44"/>
        </w:rPr>
        <w:t xml:space="preserve">ANALYSIS &amp; GROWTH REPORT</w:t>
      </w:r>
    </w:p>
    <w:p>
      <w:pPr>
        <w:spacing w:after="100"/>
        <w:jc w:val="center"/>
      </w:pPr>
      <w:r>
        <w:rPr>
          <w:color w:val="595959"/>
          <w:sz w:val="24"/>
          <w:szCs w:val="24"/>
        </w:rPr>
        <w:t xml:space="preserve">Multi-Category Retail Business  |  FY2024 – FY2025</w:t>
      </w:r>
    </w:p>
    <w:p>
      <w:pPr>
        <w:spacing w:before="1600"/>
        <w:jc w:val="center"/>
      </w:pPr>
      <w:r>
        <w:rPr>
          <w:color w:val="595959"/>
          <w:sz w:val="20"/>
          <w:szCs w:val="20"/>
        </w:rPr>
        <w:t xml:space="preserve">Prepared by: Data Analytics Team</w:t>
      </w:r>
    </w:p>
    <w:p>
      <w:pPr>
        <w:jc w:val="center"/>
      </w:pPr>
      <w:r>
        <w:rPr>
          <w:color w:val="595959"/>
          <w:sz w:val="20"/>
          <w:szCs w:val="20"/>
        </w:rPr>
        <w:t xml:space="preserve">Report 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2E5EAA" w:sz="6" w:space="4"/>
        </w:pBdr>
        <w:spacing w:after="160" w:before="320"/>
      </w:pPr>
      <w:r>
        <w:rPr>
          <w:b/>
          <w:bCs/>
          <w:color w:val="1F3864"/>
          <w:sz w:val="30"/>
          <w:szCs w:val="30"/>
        </w:rPr>
        <w:t xml:space="preserve">Executive Summary</w:t>
      </w:r>
    </w:p>
    <w:p>
      <w:pPr>
        <w:spacing w:after="160" w:line="300"/>
      </w:pPr>
      <w:r>
        <w:rPr>
          <w:color w:val="222222"/>
          <w:sz w:val="21"/>
          <w:szCs w:val="21"/>
        </w:rPr>
        <w:t xml:space="preserve">Over the two-year period from January 2024 through December 2025, the business generated $1,518,360 in net sales and $499,230 in profit, holding a healthy average profit margin of 32.9%. Revenue grew 17.0% year-over-year, from $699,649 in 2024 to $818,711 in 2025, driven by strong Q4 seasonal demand and consistent online-channel growth.</w:t>
      </w:r>
    </w:p>
    <w:p>
      <w:pPr>
        <w:spacing w:after="160" w:line="300"/>
      </w:pPr>
      <w:r>
        <w:rPr>
          <w:color w:val="222222"/>
          <w:sz w:val="21"/>
          <w:szCs w:val="21"/>
        </w:rPr>
        <w:t xml:space="preserve">This report breaks down performance by product, category, region, and sales channel to identify what is working, what is underperforming, and where the business should focus resources to accelerate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pct" w:w="25%"/>
            <w:shd w:fill="EAF1FB" w:color="auto" w:val="clear"/>
            <w:tcMar>
              <w:top w:type="dxa" w:w="160"/>
              <w:left w:type="dxa" w:w="140"/>
              <w:bottom w:type="dxa" w:w="160"/>
              <w:right w:type="dxa" w:w="140"/>
            </w:tcMar>
          </w:tcPr>
          <w:p>
            <w:pPr>
              <w:spacing w:after="60"/>
              <w:jc w:val="center"/>
            </w:pPr>
            <w:r>
              <w:rPr>
                <w:b/>
                <w:bCs/>
                <w:color w:val="1F3864"/>
                <w:sz w:val="30"/>
                <w:szCs w:val="30"/>
              </w:rPr>
              <w:t xml:space="preserve">$1,518,360</w:t>
            </w:r>
          </w:p>
          <w:p>
            <w:pPr>
              <w:jc w:val="center"/>
            </w:pPr>
            <w:r>
              <w:rPr>
                <w:color w:val="595959"/>
                <w:sz w:val="17"/>
                <w:szCs w:val="17"/>
              </w:rPr>
              <w:t xml:space="preserve">TOTAL NET SALES (2024–25)</w:t>
            </w:r>
          </w:p>
        </w:tc>
        <w:tc>
          <w:tcPr>
            <w:tcW w:type="pct" w:w="25%"/>
            <w:shd w:fill="EAF1FB" w:color="auto" w:val="clear"/>
            <w:tcMar>
              <w:top w:type="dxa" w:w="160"/>
              <w:left w:type="dxa" w:w="140"/>
              <w:bottom w:type="dxa" w:w="160"/>
              <w:right w:type="dxa" w:w="140"/>
            </w:tcMar>
          </w:tcPr>
          <w:p>
            <w:pPr>
              <w:spacing w:after="60"/>
              <w:jc w:val="center"/>
            </w:pPr>
            <w:r>
              <w:rPr>
                <w:b/>
                <w:bCs/>
                <w:color w:val="1B998B"/>
                <w:sz w:val="30"/>
                <w:szCs w:val="30"/>
              </w:rPr>
              <w:t xml:space="preserve">$499,230</w:t>
            </w:r>
          </w:p>
          <w:p>
            <w:pPr>
              <w:jc w:val="center"/>
            </w:pPr>
            <w:r>
              <w:rPr>
                <w:color w:val="595959"/>
                <w:sz w:val="17"/>
                <w:szCs w:val="17"/>
              </w:rPr>
              <w:t xml:space="preserve">TOTAL PROFIT</w:t>
            </w:r>
          </w:p>
        </w:tc>
        <w:tc>
          <w:tcPr>
            <w:tcW w:type="pct" w:w="25%"/>
            <w:shd w:fill="EAF1FB" w:color="auto" w:val="clear"/>
            <w:tcMar>
              <w:top w:type="dxa" w:w="160"/>
              <w:left w:type="dxa" w:w="140"/>
              <w:bottom w:type="dxa" w:w="160"/>
              <w:right w:type="dxa" w:w="140"/>
            </w:tcMar>
          </w:tcPr>
          <w:p>
            <w:pPr>
              <w:spacing w:after="60"/>
              <w:jc w:val="center"/>
            </w:pPr>
            <w:r>
              <w:rPr>
                <w:b/>
                <w:bCs/>
                <w:color w:val="F0913B"/>
                <w:sz w:val="30"/>
                <w:szCs w:val="30"/>
              </w:rPr>
              <w:t xml:space="preserve">32.9%</w:t>
            </w:r>
          </w:p>
          <w:p>
            <w:pPr>
              <w:jc w:val="center"/>
            </w:pPr>
            <w:r>
              <w:rPr>
                <w:color w:val="595959"/>
                <w:sz w:val="17"/>
                <w:szCs w:val="17"/>
              </w:rPr>
              <w:t xml:space="preserve">AVG PROFIT MARGIN</w:t>
            </w:r>
          </w:p>
        </w:tc>
        <w:tc>
          <w:tcPr>
            <w:tcW w:type="pct" w:w="25%"/>
            <w:shd w:fill="EAF1FB" w:color="auto" w:val="clear"/>
            <w:tcMar>
              <w:top w:type="dxa" w:w="160"/>
              <w:left w:type="dxa" w:w="140"/>
              <w:bottom w:type="dxa" w:w="160"/>
              <w:right w:type="dxa" w:w="140"/>
            </w:tcMar>
          </w:tcPr>
          <w:p>
            <w:pPr>
              <w:spacing w:after="60"/>
              <w:jc w:val="center"/>
            </w:pPr>
            <w:r>
              <w:rPr>
                <w:b/>
                <w:bCs/>
                <w:color w:val="1B998B"/>
                <w:sz w:val="30"/>
                <w:szCs w:val="30"/>
              </w:rPr>
              <w:t xml:space="preserve">+17.0%</w:t>
            </w:r>
          </w:p>
          <w:p>
            <w:pPr>
              <w:jc w:val="center"/>
            </w:pPr>
            <w:r>
              <w:rPr>
                <w:color w:val="595959"/>
                <w:sz w:val="17"/>
                <w:szCs w:val="17"/>
              </w:rPr>
              <w:t xml:space="preserve">YoY REVENUE GROWTH</w:t>
            </w:r>
          </w:p>
        </w:tc>
      </w:tr>
      <w:tr>
        <w:tc>
          <w:tcPr>
            <w:tcW w:type="pct" w:w="25%"/>
            <w:shd w:fill="EAF1FB" w:color="auto" w:val="clear"/>
            <w:tcMar>
              <w:top w:type="dxa" w:w="160"/>
              <w:left w:type="dxa" w:w="140"/>
              <w:bottom w:type="dxa" w:w="160"/>
              <w:right w:type="dxa" w:w="140"/>
            </w:tcMar>
          </w:tcPr>
          <w:p>
            <w:pPr>
              <w:spacing w:after="60"/>
              <w:jc w:val="center"/>
            </w:pPr>
            <w:r>
              <w:rPr>
                <w:b/>
                <w:bCs/>
                <w:color w:val="1F3864"/>
                <w:sz w:val="30"/>
                <w:szCs w:val="30"/>
              </w:rPr>
              <w:t xml:space="preserve">12,180</w:t>
            </w:r>
          </w:p>
          <w:p>
            <w:pPr>
              <w:jc w:val="center"/>
            </w:pPr>
            <w:r>
              <w:rPr>
                <w:color w:val="595959"/>
                <w:sz w:val="17"/>
                <w:szCs w:val="17"/>
              </w:rPr>
              <w:t xml:space="preserve">TOTAL ORDERS</w:t>
            </w:r>
          </w:p>
        </w:tc>
        <w:tc>
          <w:tcPr>
            <w:tcW w:type="pct" w:w="25%"/>
            <w:shd w:fill="EAF1FB" w:color="auto" w:val="clear"/>
            <w:tcMar>
              <w:top w:type="dxa" w:w="160"/>
              <w:left w:type="dxa" w:w="140"/>
              <w:bottom w:type="dxa" w:w="160"/>
              <w:right w:type="dxa" w:w="140"/>
            </w:tcMar>
          </w:tcPr>
          <w:p>
            <w:pPr>
              <w:spacing w:after="60"/>
              <w:jc w:val="center"/>
            </w:pPr>
            <w:r>
              <w:rPr>
                <w:b/>
                <w:bCs/>
                <w:color w:val="1F3864"/>
                <w:sz w:val="30"/>
                <w:szCs w:val="30"/>
              </w:rPr>
              <w:t xml:space="preserve">$125</w:t>
            </w:r>
          </w:p>
          <w:p>
            <w:pPr>
              <w:jc w:val="center"/>
            </w:pPr>
            <w:r>
              <w:rPr>
                <w:color w:val="595959"/>
                <w:sz w:val="17"/>
                <w:szCs w:val="17"/>
              </w:rPr>
              <w:t xml:space="preserve">AVG ORDER VALUE</w:t>
            </w:r>
          </w:p>
        </w:tc>
        <w:tc>
          <w:tcPr>
            <w:tcW w:type="pct" w:w="25%"/>
            <w:shd w:fill="EAF1FB" w:color="auto" w:val="clear"/>
            <w:tcMar>
              <w:top w:type="dxa" w:w="160"/>
              <w:left w:type="dxa" w:w="140"/>
              <w:bottom w:type="dxa" w:w="160"/>
              <w:right w:type="dxa" w:w="140"/>
            </w:tcMar>
          </w:tcPr>
          <w:p>
            <w:pPr>
              <w:spacing w:after="60"/>
              <w:jc w:val="center"/>
            </w:pPr>
            <w:r>
              <w:rPr>
                <w:b/>
                <w:bCs/>
                <w:color w:val="1F3864"/>
                <w:sz w:val="30"/>
                <w:szCs w:val="30"/>
              </w:rPr>
              <w:t xml:space="preserve">$699,649</w:t>
            </w:r>
          </w:p>
          <w:p>
            <w:pPr>
              <w:jc w:val="center"/>
            </w:pPr>
            <w:r>
              <w:rPr>
                <w:color w:val="595959"/>
                <w:sz w:val="17"/>
                <w:szCs w:val="17"/>
              </w:rPr>
              <w:t xml:space="preserve">2024 REVENUE</w:t>
            </w:r>
          </w:p>
        </w:tc>
        <w:tc>
          <w:tcPr>
            <w:tcW w:type="pct" w:w="25%"/>
            <w:shd w:fill="EAF1FB" w:color="auto" w:val="clear"/>
            <w:tcMar>
              <w:top w:type="dxa" w:w="160"/>
              <w:left w:type="dxa" w:w="140"/>
              <w:bottom w:type="dxa" w:w="160"/>
              <w:right w:type="dxa" w:w="140"/>
            </w:tcMar>
          </w:tcPr>
          <w:p>
            <w:pPr>
              <w:spacing w:after="60"/>
              <w:jc w:val="center"/>
            </w:pPr>
            <w:r>
              <w:rPr>
                <w:b/>
                <w:bCs/>
                <w:color w:val="1F3864"/>
                <w:sz w:val="30"/>
                <w:szCs w:val="30"/>
              </w:rPr>
              <w:t xml:space="preserve">$818,711</w:t>
            </w:r>
          </w:p>
          <w:p>
            <w:pPr>
              <w:jc w:val="center"/>
            </w:pPr>
            <w:r>
              <w:rPr>
                <w:color w:val="595959"/>
                <w:sz w:val="17"/>
                <w:szCs w:val="17"/>
              </w:rPr>
              <w:t xml:space="preserve">2025 REVENUE</w:t>
            </w:r>
          </w:p>
        </w:tc>
      </w:tr>
    </w:tbl>
    <w:p>
      <w:pPr>
        <w:pStyle w:val="Heading1"/>
        <w:pBdr>
          <w:bottom w:val="single" w:color="2E5EAA" w:sz="6" w:space="4"/>
        </w:pBdr>
        <w:spacing w:after="160" w:before="320"/>
      </w:pPr>
      <w:r>
        <w:rPr>
          <w:b/>
          <w:bCs/>
          <w:color w:val="1F3864"/>
          <w:sz w:val="30"/>
          <w:szCs w:val="30"/>
        </w:rPr>
        <w:t xml:space="preserve">1. Revenue Trend Over Time</w:t>
      </w:r>
    </w:p>
    <w:p>
      <w:pPr>
        <w:spacing w:after="160" w:line="300"/>
      </w:pPr>
      <w:r>
        <w:rPr>
          <w:color w:val="222222"/>
          <w:sz w:val="21"/>
          <w:szCs w:val="21"/>
        </w:rPr>
        <w:t xml:space="preserve">Monthly revenue shows a clear seasonal pattern: sales dip in January-February after the holiday peak, hold steady through mid-year, and climb sharply from September through December — with November and December consistently the strongest months of the year (roughly 35-45% above the monthly average). This is a classic retail seasonality curve and should directly inform inventory planning and marketing spend timing.</w:t>
      </w:r>
    </w:p>
    <w:p>
      <w:pPr>
        <w:spacing w:after="2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86025"/>
                    </a:xfrm>
                    <a:prstGeom prst="rect">
                      <a:avLst/>
                    </a:prstGeom>
                  </pic:spPr>
                </pic:pic>
              </a:graphicData>
            </a:graphic>
          </wp:inline>
        </w:drawing>
      </w:r>
    </w:p>
    <w:p>
      <w:pPr>
        <w:pStyle w:val="Heading2"/>
        <w:spacing w:after="120" w:before="260"/>
      </w:pPr>
      <w:r>
        <w:rPr>
          <w:b/>
          <w:bCs/>
          <w:color w:val="2E5EAA"/>
          <w:sz w:val="24"/>
          <w:szCs w:val="24"/>
        </w:rPr>
        <w:t xml:space="preserve">Insight</w:t>
      </w:r>
    </w:p>
    <w:p>
      <w:pPr>
        <w:pStyle w:val="ListParagraph"/>
        <w:numPr>
          <w:ilvl w:val="0"/>
          <w:numId w:val="1"/>
        </w:numPr>
        <w:spacing w:after="90" w:line="280"/>
      </w:pPr>
      <w:r>
        <w:rPr>
          <w:color w:val="222222"/>
          <w:sz w:val="21"/>
          <w:szCs w:val="21"/>
        </w:rPr>
        <w:t xml:space="preserve">Q4 (Oct–Dec) is the single most important revenue window of the year — inventory, staffing, and ad budgets should be front-loaded for this period.</w:t>
      </w:r>
    </w:p>
    <w:p>
      <w:pPr>
        <w:pStyle w:val="ListParagraph"/>
        <w:numPr>
          <w:ilvl w:val="0"/>
          <w:numId w:val="1"/>
        </w:numPr>
        <w:spacing w:after="90" w:line="280"/>
      </w:pPr>
      <w:r>
        <w:rPr>
          <w:color w:val="222222"/>
          <w:sz w:val="21"/>
          <w:szCs w:val="21"/>
        </w:rPr>
        <w:t xml:space="preserve">January and February are consistently the softest months — a good window for clearance promotions, supplier negotiations, or planned maintenance rather than aggressive new-product pushes.</w:t>
      </w:r>
    </w:p>
    <w:p>
      <w:pPr>
        <w:pStyle w:val="ListParagraph"/>
        <w:numPr>
          <w:ilvl w:val="0"/>
          <w:numId w:val="1"/>
        </w:numPr>
        <w:spacing w:after="90" w:line="280"/>
      </w:pPr>
      <w:r>
        <w:rPr>
          <w:color w:val="222222"/>
          <w:sz w:val="21"/>
          <w:szCs w:val="21"/>
        </w:rPr>
        <w:t xml:space="preserve">2025 outperformed 2024 by 17.0%, indicating the underlying growth trend is healthy, not just seasonal noise.</w:t>
      </w:r>
    </w:p>
    <w:p>
      <w:pPr>
        <w:pStyle w:val="Heading1"/>
        <w:pBdr>
          <w:bottom w:val="single" w:color="2E5EAA" w:sz="6" w:space="4"/>
        </w:pBdr>
        <w:spacing w:after="160" w:before="320"/>
      </w:pPr>
      <w:r>
        <w:rPr>
          <w:b/>
          <w:bCs/>
          <w:color w:val="1F3864"/>
          <w:sz w:val="30"/>
          <w:szCs w:val="30"/>
        </w:rPr>
        <w:t xml:space="preserve">2. Top-Selling Products</w:t>
      </w:r>
    </w:p>
    <w:p>
      <w:pPr>
        <w:spacing w:after="160" w:line="300"/>
      </w:pPr>
      <w:r>
        <w:rPr>
          <w:color w:val="222222"/>
          <w:sz w:val="21"/>
          <w:szCs w:val="21"/>
        </w:rPr>
        <w:t xml:space="preserve">The chart below ranks the top 10 products by net revenue. Outdoor and fitness-related items (Camping Tent, Water Bottle, Fitness Tracker, Cooler Box, Bike Helmet) dominate the top of the list, signaling strong demand in the Sports &amp; Outdoors category specifically.</w:t>
      </w:r>
    </w:p>
    <w:p>
      <w:pPr>
        <w:spacing w:after="2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575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color="auto" w:val="clear"/>
            <w:tcMar>
              <w:top w:type="dxa" w:w="100"/>
              <w:left w:type="dxa" w:w="120"/>
              <w:bottom w:type="dxa" w:w="100"/>
              <w:right w:type="dxa" w:w="120"/>
            </w:tcMar>
          </w:tcPr>
          <w:p>
            <w:r>
              <w:rPr>
                <w:b/>
                <w:bCs/>
                <w:color w:val="FFFFFF"/>
                <w:sz w:val="19"/>
                <w:szCs w:val="19"/>
              </w:rPr>
              <w:t xml:space="preserve">Rank</w:t>
            </w:r>
          </w:p>
        </w:tc>
        <w:tc>
          <w:tcPr>
            <w:tcW w:type="dxa" w:w="3360"/>
            <w:shd w:fill="1F3864" w:color="auto" w:val="clear"/>
            <w:tcMar>
              <w:top w:type="dxa" w:w="100"/>
              <w:left w:type="dxa" w:w="120"/>
              <w:bottom w:type="dxa" w:w="100"/>
              <w:right w:type="dxa" w:w="120"/>
            </w:tcMar>
          </w:tcPr>
          <w:p>
            <w:r>
              <w:rPr>
                <w:b/>
                <w:bCs/>
                <w:color w:val="FFFFFF"/>
                <w:sz w:val="19"/>
                <w:szCs w:val="19"/>
              </w:rPr>
              <w:t xml:space="preserve">Product</w:t>
            </w:r>
          </w:p>
        </w:tc>
        <w:tc>
          <w:tcPr>
            <w:tcW w:type="dxa" w:w="3360"/>
            <w:shd w:fill="1F3864" w:color="auto" w:val="clear"/>
            <w:tcMar>
              <w:top w:type="dxa" w:w="100"/>
              <w:left w:type="dxa" w:w="120"/>
              <w:bottom w:type="dxa" w:w="100"/>
              <w:right w:type="dxa" w:w="120"/>
            </w:tcMar>
          </w:tcPr>
          <w:p>
            <w:r>
              <w:rPr>
                <w:b/>
                <w:bCs/>
                <w:color w:val="FFFFFF"/>
                <w:sz w:val="19"/>
                <w:szCs w:val="19"/>
              </w:rPr>
              <w:t xml:space="preserve">Net Sales</w:t>
            </w:r>
          </w:p>
        </w:tc>
      </w:tr>
      <w:tr>
        <w:tc>
          <w:tcPr>
            <w:tcW w:type="dxa" w:w="3360"/>
            <w:shd w:fill="FFFFFF" w:color="auto" w:val="clear"/>
            <w:tcMar>
              <w:top w:type="dxa" w:w="90"/>
              <w:left w:type="dxa" w:w="120"/>
              <w:bottom w:type="dxa" w:w="90"/>
              <w:right w:type="dxa" w:w="120"/>
            </w:tcMar>
          </w:tcPr>
          <w:p>
            <w:r>
              <w:rPr>
                <w:sz w:val="19"/>
                <w:szCs w:val="19"/>
              </w:rPr>
              <w:t xml:space="preserve">1</w:t>
            </w:r>
          </w:p>
        </w:tc>
        <w:tc>
          <w:tcPr>
            <w:tcW w:type="dxa" w:w="3360"/>
            <w:shd w:fill="FFFFFF" w:color="auto" w:val="clear"/>
            <w:tcMar>
              <w:top w:type="dxa" w:w="90"/>
              <w:left w:type="dxa" w:w="120"/>
              <w:bottom w:type="dxa" w:w="90"/>
              <w:right w:type="dxa" w:w="120"/>
            </w:tcMar>
          </w:tcPr>
          <w:p>
            <w:r>
              <w:rPr>
                <w:sz w:val="19"/>
                <w:szCs w:val="19"/>
              </w:rPr>
              <w:t xml:space="preserve">Camping Tent</w:t>
            </w:r>
          </w:p>
        </w:tc>
        <w:tc>
          <w:tcPr>
            <w:tcW w:type="dxa" w:w="3360"/>
            <w:shd w:fill="FFFFFF" w:color="auto" w:val="clear"/>
            <w:tcMar>
              <w:top w:type="dxa" w:w="90"/>
              <w:left w:type="dxa" w:w="120"/>
              <w:bottom w:type="dxa" w:w="90"/>
              <w:right w:type="dxa" w:w="120"/>
            </w:tcMar>
          </w:tcPr>
          <w:p>
            <w:r>
              <w:rPr>
                <w:sz w:val="19"/>
                <w:szCs w:val="19"/>
              </w:rPr>
              <w:t xml:space="preserve">$48,780</w:t>
            </w:r>
          </w:p>
        </w:tc>
      </w:tr>
      <w:tr>
        <w:tc>
          <w:tcPr>
            <w:tcW w:type="dxa" w:w="3360"/>
            <w:shd w:fill="F5F7FA" w:color="auto" w:val="clear"/>
            <w:tcMar>
              <w:top w:type="dxa" w:w="90"/>
              <w:left w:type="dxa" w:w="120"/>
              <w:bottom w:type="dxa" w:w="90"/>
              <w:right w:type="dxa" w:w="120"/>
            </w:tcMar>
          </w:tcPr>
          <w:p>
            <w:r>
              <w:rPr>
                <w:sz w:val="19"/>
                <w:szCs w:val="19"/>
              </w:rPr>
              <w:t xml:space="preserve">2</w:t>
            </w:r>
          </w:p>
        </w:tc>
        <w:tc>
          <w:tcPr>
            <w:tcW w:type="dxa" w:w="3360"/>
            <w:shd w:fill="F5F7FA" w:color="auto" w:val="clear"/>
            <w:tcMar>
              <w:top w:type="dxa" w:w="90"/>
              <w:left w:type="dxa" w:w="120"/>
              <w:bottom w:type="dxa" w:w="90"/>
              <w:right w:type="dxa" w:w="120"/>
            </w:tcMar>
          </w:tcPr>
          <w:p>
            <w:r>
              <w:rPr>
                <w:sz w:val="19"/>
                <w:szCs w:val="19"/>
              </w:rPr>
              <w:t xml:space="preserve">Water Bottle</w:t>
            </w:r>
          </w:p>
        </w:tc>
        <w:tc>
          <w:tcPr>
            <w:tcW w:type="dxa" w:w="3360"/>
            <w:shd w:fill="F5F7FA" w:color="auto" w:val="clear"/>
            <w:tcMar>
              <w:top w:type="dxa" w:w="90"/>
              <w:left w:type="dxa" w:w="120"/>
              <w:bottom w:type="dxa" w:w="90"/>
              <w:right w:type="dxa" w:w="120"/>
            </w:tcMar>
          </w:tcPr>
          <w:p>
            <w:r>
              <w:rPr>
                <w:sz w:val="19"/>
                <w:szCs w:val="19"/>
              </w:rPr>
              <w:t xml:space="preserve">$45,936</w:t>
            </w:r>
          </w:p>
        </w:tc>
      </w:tr>
      <w:tr>
        <w:tc>
          <w:tcPr>
            <w:tcW w:type="dxa" w:w="3360"/>
            <w:shd w:fill="FFFFFF" w:color="auto" w:val="clear"/>
            <w:tcMar>
              <w:top w:type="dxa" w:w="90"/>
              <w:left w:type="dxa" w:w="120"/>
              <w:bottom w:type="dxa" w:w="90"/>
              <w:right w:type="dxa" w:w="120"/>
            </w:tcMar>
          </w:tcPr>
          <w:p>
            <w:r>
              <w:rPr>
                <w:sz w:val="19"/>
                <w:szCs w:val="19"/>
              </w:rPr>
              <w:t xml:space="preserve">3</w:t>
            </w:r>
          </w:p>
        </w:tc>
        <w:tc>
          <w:tcPr>
            <w:tcW w:type="dxa" w:w="3360"/>
            <w:shd w:fill="FFFFFF" w:color="auto" w:val="clear"/>
            <w:tcMar>
              <w:top w:type="dxa" w:w="90"/>
              <w:left w:type="dxa" w:w="120"/>
              <w:bottom w:type="dxa" w:w="90"/>
              <w:right w:type="dxa" w:w="120"/>
            </w:tcMar>
          </w:tcPr>
          <w:p>
            <w:r>
              <w:rPr>
                <w:sz w:val="19"/>
                <w:szCs w:val="19"/>
              </w:rPr>
              <w:t xml:space="preserve">Fitness Tracker</w:t>
            </w:r>
          </w:p>
        </w:tc>
        <w:tc>
          <w:tcPr>
            <w:tcW w:type="dxa" w:w="3360"/>
            <w:shd w:fill="FFFFFF" w:color="auto" w:val="clear"/>
            <w:tcMar>
              <w:top w:type="dxa" w:w="90"/>
              <w:left w:type="dxa" w:w="120"/>
              <w:bottom w:type="dxa" w:w="90"/>
              <w:right w:type="dxa" w:w="120"/>
            </w:tcMar>
          </w:tcPr>
          <w:p>
            <w:r>
              <w:rPr>
                <w:sz w:val="19"/>
                <w:szCs w:val="19"/>
              </w:rPr>
              <w:t xml:space="preserve">$45,515</w:t>
            </w:r>
          </w:p>
        </w:tc>
      </w:tr>
      <w:tr>
        <w:tc>
          <w:tcPr>
            <w:tcW w:type="dxa" w:w="3360"/>
            <w:shd w:fill="F5F7FA" w:color="auto" w:val="clear"/>
            <w:tcMar>
              <w:top w:type="dxa" w:w="90"/>
              <w:left w:type="dxa" w:w="120"/>
              <w:bottom w:type="dxa" w:w="90"/>
              <w:right w:type="dxa" w:w="120"/>
            </w:tcMar>
          </w:tcPr>
          <w:p>
            <w:r>
              <w:rPr>
                <w:sz w:val="19"/>
                <w:szCs w:val="19"/>
              </w:rPr>
              <w:t xml:space="preserve">4</w:t>
            </w:r>
          </w:p>
        </w:tc>
        <w:tc>
          <w:tcPr>
            <w:tcW w:type="dxa" w:w="3360"/>
            <w:shd w:fill="F5F7FA" w:color="auto" w:val="clear"/>
            <w:tcMar>
              <w:top w:type="dxa" w:w="90"/>
              <w:left w:type="dxa" w:w="120"/>
              <w:bottom w:type="dxa" w:w="90"/>
              <w:right w:type="dxa" w:w="120"/>
            </w:tcMar>
          </w:tcPr>
          <w:p>
            <w:r>
              <w:rPr>
                <w:sz w:val="19"/>
                <w:szCs w:val="19"/>
              </w:rPr>
              <w:t xml:space="preserve">Cooler Box</w:t>
            </w:r>
          </w:p>
        </w:tc>
        <w:tc>
          <w:tcPr>
            <w:tcW w:type="dxa" w:w="3360"/>
            <w:shd w:fill="F5F7FA" w:color="auto" w:val="clear"/>
            <w:tcMar>
              <w:top w:type="dxa" w:w="90"/>
              <w:left w:type="dxa" w:w="120"/>
              <w:bottom w:type="dxa" w:w="90"/>
              <w:right w:type="dxa" w:w="120"/>
            </w:tcMar>
          </w:tcPr>
          <w:p>
            <w:r>
              <w:rPr>
                <w:sz w:val="19"/>
                <w:szCs w:val="19"/>
              </w:rPr>
              <w:t xml:space="preserve">$45,499</w:t>
            </w:r>
          </w:p>
        </w:tc>
      </w:tr>
      <w:tr>
        <w:tc>
          <w:tcPr>
            <w:tcW w:type="dxa" w:w="3360"/>
            <w:shd w:fill="FFFFFF" w:color="auto" w:val="clear"/>
            <w:tcMar>
              <w:top w:type="dxa" w:w="90"/>
              <w:left w:type="dxa" w:w="120"/>
              <w:bottom w:type="dxa" w:w="90"/>
              <w:right w:type="dxa" w:w="120"/>
            </w:tcMar>
          </w:tcPr>
          <w:p>
            <w:r>
              <w:rPr>
                <w:sz w:val="19"/>
                <w:szCs w:val="19"/>
              </w:rPr>
              <w:t xml:space="preserve">5</w:t>
            </w:r>
          </w:p>
        </w:tc>
        <w:tc>
          <w:tcPr>
            <w:tcW w:type="dxa" w:w="3360"/>
            <w:shd w:fill="FFFFFF" w:color="auto" w:val="clear"/>
            <w:tcMar>
              <w:top w:type="dxa" w:w="90"/>
              <w:left w:type="dxa" w:w="120"/>
              <w:bottom w:type="dxa" w:w="90"/>
              <w:right w:type="dxa" w:w="120"/>
            </w:tcMar>
          </w:tcPr>
          <w:p>
            <w:r>
              <w:rPr>
                <w:sz w:val="19"/>
                <w:szCs w:val="19"/>
              </w:rPr>
              <w:t xml:space="preserve">Bike Helmet</w:t>
            </w:r>
          </w:p>
        </w:tc>
        <w:tc>
          <w:tcPr>
            <w:tcW w:type="dxa" w:w="3360"/>
            <w:shd w:fill="FFFFFF" w:color="auto" w:val="clear"/>
            <w:tcMar>
              <w:top w:type="dxa" w:w="90"/>
              <w:left w:type="dxa" w:w="120"/>
              <w:bottom w:type="dxa" w:w="90"/>
              <w:right w:type="dxa" w:w="120"/>
            </w:tcMar>
          </w:tcPr>
          <w:p>
            <w:r>
              <w:rPr>
                <w:sz w:val="19"/>
                <w:szCs w:val="19"/>
              </w:rPr>
              <w:t xml:space="preserve">$42,307</w:t>
            </w:r>
          </w:p>
        </w:tc>
      </w:tr>
      <w:tr>
        <w:tc>
          <w:tcPr>
            <w:tcW w:type="dxa" w:w="3360"/>
            <w:shd w:fill="F5F7FA" w:color="auto" w:val="clear"/>
            <w:tcMar>
              <w:top w:type="dxa" w:w="90"/>
              <w:left w:type="dxa" w:w="120"/>
              <w:bottom w:type="dxa" w:w="90"/>
              <w:right w:type="dxa" w:w="120"/>
            </w:tcMar>
          </w:tcPr>
          <w:p>
            <w:r>
              <w:rPr>
                <w:sz w:val="19"/>
                <w:szCs w:val="19"/>
              </w:rPr>
              <w:t xml:space="preserve">6</w:t>
            </w:r>
          </w:p>
        </w:tc>
        <w:tc>
          <w:tcPr>
            <w:tcW w:type="dxa" w:w="3360"/>
            <w:shd w:fill="F5F7FA" w:color="auto" w:val="clear"/>
            <w:tcMar>
              <w:top w:type="dxa" w:w="90"/>
              <w:left w:type="dxa" w:w="120"/>
              <w:bottom w:type="dxa" w:w="90"/>
              <w:right w:type="dxa" w:w="120"/>
            </w:tcMar>
          </w:tcPr>
          <w:p>
            <w:r>
              <w:rPr>
                <w:sz w:val="19"/>
                <w:szCs w:val="19"/>
              </w:rPr>
              <w:t xml:space="preserve">Webcam HD</w:t>
            </w:r>
          </w:p>
        </w:tc>
        <w:tc>
          <w:tcPr>
            <w:tcW w:type="dxa" w:w="3360"/>
            <w:shd w:fill="F5F7FA" w:color="auto" w:val="clear"/>
            <w:tcMar>
              <w:top w:type="dxa" w:w="90"/>
              <w:left w:type="dxa" w:w="120"/>
              <w:bottom w:type="dxa" w:w="90"/>
              <w:right w:type="dxa" w:w="120"/>
            </w:tcMar>
          </w:tcPr>
          <w:p>
            <w:r>
              <w:rPr>
                <w:sz w:val="19"/>
                <w:szCs w:val="19"/>
              </w:rPr>
              <w:t xml:space="preserve">$42,232</w:t>
            </w:r>
          </w:p>
        </w:tc>
      </w:tr>
      <w:tr>
        <w:tc>
          <w:tcPr>
            <w:tcW w:type="dxa" w:w="3360"/>
            <w:shd w:fill="FFFFFF" w:color="auto" w:val="clear"/>
            <w:tcMar>
              <w:top w:type="dxa" w:w="90"/>
              <w:left w:type="dxa" w:w="120"/>
              <w:bottom w:type="dxa" w:w="90"/>
              <w:right w:type="dxa" w:w="120"/>
            </w:tcMar>
          </w:tcPr>
          <w:p>
            <w:r>
              <w:rPr>
                <w:sz w:val="19"/>
                <w:szCs w:val="19"/>
              </w:rPr>
              <w:t xml:space="preserve">7</w:t>
            </w:r>
          </w:p>
        </w:tc>
        <w:tc>
          <w:tcPr>
            <w:tcW w:type="dxa" w:w="3360"/>
            <w:shd w:fill="FFFFFF" w:color="auto" w:val="clear"/>
            <w:tcMar>
              <w:top w:type="dxa" w:w="90"/>
              <w:left w:type="dxa" w:w="120"/>
              <w:bottom w:type="dxa" w:w="90"/>
              <w:right w:type="dxa" w:w="120"/>
            </w:tcMar>
          </w:tcPr>
          <w:p>
            <w:r>
              <w:rPr>
                <w:sz w:val="19"/>
                <w:szCs w:val="19"/>
              </w:rPr>
              <w:t xml:space="preserve">Wireless Earbuds</w:t>
            </w:r>
          </w:p>
        </w:tc>
        <w:tc>
          <w:tcPr>
            <w:tcW w:type="dxa" w:w="3360"/>
            <w:shd w:fill="FFFFFF" w:color="auto" w:val="clear"/>
            <w:tcMar>
              <w:top w:type="dxa" w:w="90"/>
              <w:left w:type="dxa" w:w="120"/>
              <w:bottom w:type="dxa" w:w="90"/>
              <w:right w:type="dxa" w:w="120"/>
            </w:tcMar>
          </w:tcPr>
          <w:p>
            <w:r>
              <w:rPr>
                <w:sz w:val="19"/>
                <w:szCs w:val="19"/>
              </w:rPr>
              <w:t xml:space="preserve">$42,197</w:t>
            </w:r>
          </w:p>
        </w:tc>
      </w:tr>
      <w:tr>
        <w:tc>
          <w:tcPr>
            <w:tcW w:type="dxa" w:w="3360"/>
            <w:shd w:fill="F5F7FA" w:color="auto" w:val="clear"/>
            <w:tcMar>
              <w:top w:type="dxa" w:w="90"/>
              <w:left w:type="dxa" w:w="120"/>
              <w:bottom w:type="dxa" w:w="90"/>
              <w:right w:type="dxa" w:w="120"/>
            </w:tcMar>
          </w:tcPr>
          <w:p>
            <w:r>
              <w:rPr>
                <w:sz w:val="19"/>
                <w:szCs w:val="19"/>
              </w:rPr>
              <w:t xml:space="preserve">8</w:t>
            </w:r>
          </w:p>
        </w:tc>
        <w:tc>
          <w:tcPr>
            <w:tcW w:type="dxa" w:w="3360"/>
            <w:shd w:fill="F5F7FA" w:color="auto" w:val="clear"/>
            <w:tcMar>
              <w:top w:type="dxa" w:w="90"/>
              <w:left w:type="dxa" w:w="120"/>
              <w:bottom w:type="dxa" w:w="90"/>
              <w:right w:type="dxa" w:w="120"/>
            </w:tcMar>
          </w:tcPr>
          <w:p>
            <w:r>
              <w:rPr>
                <w:sz w:val="19"/>
                <w:szCs w:val="19"/>
              </w:rPr>
              <w:t xml:space="preserve">Jump Rope</w:t>
            </w:r>
          </w:p>
        </w:tc>
        <w:tc>
          <w:tcPr>
            <w:tcW w:type="dxa" w:w="3360"/>
            <w:shd w:fill="F5F7FA" w:color="auto" w:val="clear"/>
            <w:tcMar>
              <w:top w:type="dxa" w:w="90"/>
              <w:left w:type="dxa" w:w="120"/>
              <w:bottom w:type="dxa" w:w="90"/>
              <w:right w:type="dxa" w:w="120"/>
            </w:tcMar>
          </w:tcPr>
          <w:p>
            <w:r>
              <w:rPr>
                <w:sz w:val="19"/>
                <w:szCs w:val="19"/>
              </w:rPr>
              <w:t xml:space="preserve">$41,593</w:t>
            </w:r>
          </w:p>
        </w:tc>
      </w:tr>
      <w:tr>
        <w:tc>
          <w:tcPr>
            <w:tcW w:type="dxa" w:w="3360"/>
            <w:shd w:fill="FFFFFF" w:color="auto" w:val="clear"/>
            <w:tcMar>
              <w:top w:type="dxa" w:w="90"/>
              <w:left w:type="dxa" w:w="120"/>
              <w:bottom w:type="dxa" w:w="90"/>
              <w:right w:type="dxa" w:w="120"/>
            </w:tcMar>
          </w:tcPr>
          <w:p>
            <w:r>
              <w:rPr>
                <w:sz w:val="19"/>
                <w:szCs w:val="19"/>
              </w:rPr>
              <w:t xml:space="preserve">9</w:t>
            </w:r>
          </w:p>
        </w:tc>
        <w:tc>
          <w:tcPr>
            <w:tcW w:type="dxa" w:w="3360"/>
            <w:shd w:fill="FFFFFF" w:color="auto" w:val="clear"/>
            <w:tcMar>
              <w:top w:type="dxa" w:w="90"/>
              <w:left w:type="dxa" w:w="120"/>
              <w:bottom w:type="dxa" w:w="90"/>
              <w:right w:type="dxa" w:w="120"/>
            </w:tcMar>
          </w:tcPr>
          <w:p>
            <w:r>
              <w:rPr>
                <w:sz w:val="19"/>
                <w:szCs w:val="19"/>
              </w:rPr>
              <w:t xml:space="preserve">Power Bank</w:t>
            </w:r>
          </w:p>
        </w:tc>
        <w:tc>
          <w:tcPr>
            <w:tcW w:type="dxa" w:w="3360"/>
            <w:shd w:fill="FFFFFF" w:color="auto" w:val="clear"/>
            <w:tcMar>
              <w:top w:type="dxa" w:w="90"/>
              <w:left w:type="dxa" w:w="120"/>
              <w:bottom w:type="dxa" w:w="90"/>
              <w:right w:type="dxa" w:w="120"/>
            </w:tcMar>
          </w:tcPr>
          <w:p>
            <w:r>
              <w:rPr>
                <w:sz w:val="19"/>
                <w:szCs w:val="19"/>
              </w:rPr>
              <w:t xml:space="preserve">$39,963</w:t>
            </w:r>
          </w:p>
        </w:tc>
      </w:tr>
      <w:tr>
        <w:tc>
          <w:tcPr>
            <w:tcW w:type="dxa" w:w="3360"/>
            <w:shd w:fill="F5F7FA" w:color="auto" w:val="clear"/>
            <w:tcMar>
              <w:top w:type="dxa" w:w="90"/>
              <w:left w:type="dxa" w:w="120"/>
              <w:bottom w:type="dxa" w:w="90"/>
              <w:right w:type="dxa" w:w="120"/>
            </w:tcMar>
          </w:tcPr>
          <w:p>
            <w:r>
              <w:rPr>
                <w:sz w:val="19"/>
                <w:szCs w:val="19"/>
              </w:rPr>
              <w:t xml:space="preserve">10</w:t>
            </w:r>
          </w:p>
        </w:tc>
        <w:tc>
          <w:tcPr>
            <w:tcW w:type="dxa" w:w="3360"/>
            <w:shd w:fill="F5F7FA" w:color="auto" w:val="clear"/>
            <w:tcMar>
              <w:top w:type="dxa" w:w="90"/>
              <w:left w:type="dxa" w:w="120"/>
              <w:bottom w:type="dxa" w:w="90"/>
              <w:right w:type="dxa" w:w="120"/>
            </w:tcMar>
          </w:tcPr>
          <w:p>
            <w:r>
              <w:rPr>
                <w:sz w:val="19"/>
                <w:szCs w:val="19"/>
              </w:rPr>
              <w:t xml:space="preserve">Resistance Bands</w:t>
            </w:r>
          </w:p>
        </w:tc>
        <w:tc>
          <w:tcPr>
            <w:tcW w:type="dxa" w:w="3360"/>
            <w:shd w:fill="F5F7FA" w:color="auto" w:val="clear"/>
            <w:tcMar>
              <w:top w:type="dxa" w:w="90"/>
              <w:left w:type="dxa" w:w="120"/>
              <w:bottom w:type="dxa" w:w="90"/>
              <w:right w:type="dxa" w:w="120"/>
            </w:tcMar>
          </w:tcPr>
          <w:p>
            <w:r>
              <w:rPr>
                <w:sz w:val="19"/>
                <w:szCs w:val="19"/>
              </w:rPr>
              <w:t xml:space="preserve">$39,840</w:t>
            </w:r>
          </w:p>
        </w:tc>
      </w:tr>
    </w:tbl>
    <w:p>
      <w:pPr>
        <w:pStyle w:val="Heading2"/>
        <w:spacing w:after="120" w:before="260"/>
      </w:pPr>
      <w:r>
        <w:rPr>
          <w:b/>
          <w:bCs/>
          <w:color w:val="2E5EAA"/>
          <w:sz w:val="24"/>
          <w:szCs w:val="24"/>
        </w:rPr>
        <w:t xml:space="preserve">Insight</w:t>
      </w:r>
    </w:p>
    <w:p>
      <w:pPr>
        <w:pStyle w:val="ListParagraph"/>
        <w:numPr>
          <w:ilvl w:val="0"/>
          <w:numId w:val="1"/>
        </w:numPr>
        <w:spacing w:after="90" w:line="280"/>
      </w:pPr>
      <w:r>
        <w:rPr>
          <w:color w:val="222222"/>
          <w:sz w:val="21"/>
          <w:szCs w:val="21"/>
        </w:rPr>
        <w:t xml:space="preserve">6 of the top 10 products by revenue come from Sports &amp; Outdoors and Electronics — these two categories should be prioritized for stock depth and promotional placement.</w:t>
      </w:r>
    </w:p>
    <w:p>
      <w:pPr>
        <w:pStyle w:val="ListParagraph"/>
        <w:numPr>
          <w:ilvl w:val="0"/>
          <w:numId w:val="1"/>
        </w:numPr>
        <w:spacing w:after="90" w:line="280"/>
      </w:pPr>
      <w:r>
        <w:rPr>
          <w:color w:val="222222"/>
          <w:sz w:val="21"/>
          <w:szCs w:val="21"/>
        </w:rPr>
        <w:t xml:space="preserve">Products outside the top 10 collectively still make up the majority of revenue, so the business is not overly dependent on a handful of SKUs — a healthy sign for risk management.</w:t>
      </w:r>
    </w:p>
    <w:p>
      <w:pPr>
        <w:pStyle w:val="Heading1"/>
        <w:pBdr>
          <w:bottom w:val="single" w:color="2E5EAA" w:sz="6" w:space="4"/>
        </w:pBdr>
        <w:spacing w:after="160" w:before="320"/>
      </w:pPr>
      <w:r>
        <w:rPr>
          <w:b/>
          <w:bCs/>
          <w:color w:val="1F3864"/>
          <w:sz w:val="30"/>
          <w:szCs w:val="30"/>
        </w:rPr>
        <w:t xml:space="preserve">3. Category &amp; Regional Performance</w:t>
      </w:r>
    </w:p>
    <w:p>
      <w:pPr>
        <w:spacing w:after="160" w:line="300"/>
      </w:pPr>
      <w:r>
        <w:rPr>
          <w:color w:val="222222"/>
          <w:sz w:val="21"/>
          <w:szCs w:val="21"/>
        </w:rPr>
        <w:t xml:space="preserve">Sports &amp; Outdoors is the top-grossing category, followed by Electronics and Home &amp; Kitchen. However, revenue and profitability don't move together: Apparel has the smallest revenue footprint but the highest profit margin of any category, while Electronics generates strong revenue but carries the thinnest margin.</w:t>
      </w:r>
    </w:p>
    <w:p>
      <w:pPr>
        <w:spacing w:after="2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color="auto" w:val="clear"/>
            <w:tcMar>
              <w:top w:type="dxa" w:w="100"/>
              <w:left w:type="dxa" w:w="120"/>
              <w:bottom w:type="dxa" w:w="100"/>
              <w:right w:type="dxa" w:w="120"/>
            </w:tcMar>
          </w:tcPr>
          <w:p>
            <w:r>
              <w:rPr>
                <w:b/>
                <w:bCs/>
                <w:color w:val="FFFFFF"/>
                <w:sz w:val="19"/>
                <w:szCs w:val="19"/>
              </w:rPr>
              <w:t xml:space="preserve">Category</w:t>
            </w:r>
          </w:p>
        </w:tc>
        <w:tc>
          <w:tcPr>
            <w:tcW w:type="dxa" w:w="2520"/>
            <w:shd w:fill="1F3864" w:color="auto" w:val="clear"/>
            <w:tcMar>
              <w:top w:type="dxa" w:w="100"/>
              <w:left w:type="dxa" w:w="120"/>
              <w:bottom w:type="dxa" w:w="100"/>
              <w:right w:type="dxa" w:w="120"/>
            </w:tcMar>
          </w:tcPr>
          <w:p>
            <w:r>
              <w:rPr>
                <w:b/>
                <w:bCs/>
                <w:color w:val="FFFFFF"/>
                <w:sz w:val="19"/>
                <w:szCs w:val="19"/>
              </w:rPr>
              <w:t xml:space="preserve">Net Sales</w:t>
            </w:r>
          </w:p>
        </w:tc>
        <w:tc>
          <w:tcPr>
            <w:tcW w:type="dxa" w:w="2520"/>
            <w:shd w:fill="1F3864" w:color="auto" w:val="clear"/>
            <w:tcMar>
              <w:top w:type="dxa" w:w="100"/>
              <w:left w:type="dxa" w:w="120"/>
              <w:bottom w:type="dxa" w:w="100"/>
              <w:right w:type="dxa" w:w="120"/>
            </w:tcMar>
          </w:tcPr>
          <w:p>
            <w:r>
              <w:rPr>
                <w:b/>
                <w:bCs/>
                <w:color w:val="FFFFFF"/>
                <w:sz w:val="19"/>
                <w:szCs w:val="19"/>
              </w:rPr>
              <w:t xml:space="preserve">Profit</w:t>
            </w:r>
          </w:p>
        </w:tc>
        <w:tc>
          <w:tcPr>
            <w:tcW w:type="dxa" w:w="2520"/>
            <w:shd w:fill="1F3864" w:color="auto" w:val="clear"/>
            <w:tcMar>
              <w:top w:type="dxa" w:w="100"/>
              <w:left w:type="dxa" w:w="120"/>
              <w:bottom w:type="dxa" w:w="100"/>
              <w:right w:type="dxa" w:w="120"/>
            </w:tcMar>
          </w:tcPr>
          <w:p>
            <w:r>
              <w:rPr>
                <w:b/>
                <w:bCs/>
                <w:color w:val="FFFFFF"/>
                <w:sz w:val="19"/>
                <w:szCs w:val="19"/>
              </w:rPr>
              <w:t xml:space="preserve">Margin</w:t>
            </w:r>
          </w:p>
        </w:tc>
      </w:tr>
      <w:tr>
        <w:tc>
          <w:tcPr>
            <w:tcW w:type="dxa" w:w="2520"/>
            <w:shd w:fill="FFFFFF" w:color="auto" w:val="clear"/>
            <w:tcMar>
              <w:top w:type="dxa" w:w="90"/>
              <w:left w:type="dxa" w:w="120"/>
              <w:bottom w:type="dxa" w:w="90"/>
              <w:right w:type="dxa" w:w="120"/>
            </w:tcMar>
          </w:tcPr>
          <w:p>
            <w:r>
              <w:rPr>
                <w:sz w:val="19"/>
                <w:szCs w:val="19"/>
              </w:rPr>
              <w:t xml:space="preserve">Sports &amp; Outdoors</w:t>
            </w:r>
          </w:p>
        </w:tc>
        <w:tc>
          <w:tcPr>
            <w:tcW w:type="dxa" w:w="2520"/>
            <w:shd w:fill="FFFFFF" w:color="auto" w:val="clear"/>
            <w:tcMar>
              <w:top w:type="dxa" w:w="90"/>
              <w:left w:type="dxa" w:w="120"/>
              <w:bottom w:type="dxa" w:w="90"/>
              <w:right w:type="dxa" w:w="120"/>
            </w:tcMar>
          </w:tcPr>
          <w:p>
            <w:r>
              <w:rPr>
                <w:sz w:val="19"/>
                <w:szCs w:val="19"/>
              </w:rPr>
              <w:t xml:space="preserve">$424,918</w:t>
            </w:r>
          </w:p>
        </w:tc>
        <w:tc>
          <w:tcPr>
            <w:tcW w:type="dxa" w:w="2520"/>
            <w:shd w:fill="FFFFFF" w:color="auto" w:val="clear"/>
            <w:tcMar>
              <w:top w:type="dxa" w:w="90"/>
              <w:left w:type="dxa" w:w="120"/>
              <w:bottom w:type="dxa" w:w="90"/>
              <w:right w:type="dxa" w:w="120"/>
            </w:tcMar>
          </w:tcPr>
          <w:p>
            <w:r>
              <w:rPr>
                <w:sz w:val="19"/>
                <w:szCs w:val="19"/>
              </w:rPr>
              <w:t xml:space="preserve">$131,803</w:t>
            </w:r>
          </w:p>
        </w:tc>
        <w:tc>
          <w:tcPr>
            <w:tcW w:type="dxa" w:w="2520"/>
            <w:shd w:fill="FFFFFF" w:color="auto" w:val="clear"/>
            <w:tcMar>
              <w:top w:type="dxa" w:w="90"/>
              <w:left w:type="dxa" w:w="120"/>
              <w:bottom w:type="dxa" w:w="90"/>
              <w:right w:type="dxa" w:w="120"/>
            </w:tcMar>
          </w:tcPr>
          <w:p>
            <w:r>
              <w:rPr>
                <w:sz w:val="19"/>
                <w:szCs w:val="19"/>
              </w:rPr>
              <w:t xml:space="preserve">31.0%</w:t>
            </w:r>
          </w:p>
        </w:tc>
      </w:tr>
      <w:tr>
        <w:tc>
          <w:tcPr>
            <w:tcW w:type="dxa" w:w="2520"/>
            <w:shd w:fill="F5F7FA" w:color="auto" w:val="clear"/>
            <w:tcMar>
              <w:top w:type="dxa" w:w="90"/>
              <w:left w:type="dxa" w:w="120"/>
              <w:bottom w:type="dxa" w:w="90"/>
              <w:right w:type="dxa" w:w="120"/>
            </w:tcMar>
          </w:tcPr>
          <w:p>
            <w:r>
              <w:rPr>
                <w:sz w:val="19"/>
                <w:szCs w:val="19"/>
              </w:rPr>
              <w:t xml:space="preserve">Electronics</w:t>
            </w:r>
          </w:p>
        </w:tc>
        <w:tc>
          <w:tcPr>
            <w:tcW w:type="dxa" w:w="2520"/>
            <w:shd w:fill="F5F7FA" w:color="auto" w:val="clear"/>
            <w:tcMar>
              <w:top w:type="dxa" w:w="90"/>
              <w:left w:type="dxa" w:w="120"/>
              <w:bottom w:type="dxa" w:w="90"/>
              <w:right w:type="dxa" w:w="120"/>
            </w:tcMar>
          </w:tcPr>
          <w:p>
            <w:r>
              <w:rPr>
                <w:sz w:val="19"/>
                <w:szCs w:val="19"/>
              </w:rPr>
              <w:t xml:space="preserve">$379,137</w:t>
            </w:r>
          </w:p>
        </w:tc>
        <w:tc>
          <w:tcPr>
            <w:tcW w:type="dxa" w:w="2520"/>
            <w:shd w:fill="F5F7FA" w:color="auto" w:val="clear"/>
            <w:tcMar>
              <w:top w:type="dxa" w:w="90"/>
              <w:left w:type="dxa" w:w="120"/>
              <w:bottom w:type="dxa" w:w="90"/>
              <w:right w:type="dxa" w:w="120"/>
            </w:tcMar>
          </w:tcPr>
          <w:p>
            <w:r>
              <w:rPr>
                <w:sz w:val="19"/>
                <w:szCs w:val="19"/>
              </w:rPr>
              <w:t xml:space="preserve">$100,294</w:t>
            </w:r>
          </w:p>
        </w:tc>
        <w:tc>
          <w:tcPr>
            <w:tcW w:type="dxa" w:w="2520"/>
            <w:shd w:fill="F5F7FA" w:color="auto" w:val="clear"/>
            <w:tcMar>
              <w:top w:type="dxa" w:w="90"/>
              <w:left w:type="dxa" w:w="120"/>
              <w:bottom w:type="dxa" w:w="90"/>
              <w:right w:type="dxa" w:w="120"/>
            </w:tcMar>
          </w:tcPr>
          <w:p>
            <w:r>
              <w:rPr>
                <w:sz w:val="19"/>
                <w:szCs w:val="19"/>
              </w:rPr>
              <w:t xml:space="preserve">26.5%</w:t>
            </w:r>
          </w:p>
        </w:tc>
      </w:tr>
      <w:tr>
        <w:tc>
          <w:tcPr>
            <w:tcW w:type="dxa" w:w="2520"/>
            <w:shd w:fill="FFFFFF" w:color="auto" w:val="clear"/>
            <w:tcMar>
              <w:top w:type="dxa" w:w="90"/>
              <w:left w:type="dxa" w:w="120"/>
              <w:bottom w:type="dxa" w:w="90"/>
              <w:right w:type="dxa" w:w="120"/>
            </w:tcMar>
          </w:tcPr>
          <w:p>
            <w:r>
              <w:rPr>
                <w:sz w:val="19"/>
                <w:szCs w:val="19"/>
              </w:rPr>
              <w:t xml:space="preserve">Home &amp; Kitchen</w:t>
            </w:r>
          </w:p>
        </w:tc>
        <w:tc>
          <w:tcPr>
            <w:tcW w:type="dxa" w:w="2520"/>
            <w:shd w:fill="FFFFFF" w:color="auto" w:val="clear"/>
            <w:tcMar>
              <w:top w:type="dxa" w:w="90"/>
              <w:left w:type="dxa" w:w="120"/>
              <w:bottom w:type="dxa" w:w="90"/>
              <w:right w:type="dxa" w:w="120"/>
            </w:tcMar>
          </w:tcPr>
          <w:p>
            <w:r>
              <w:rPr>
                <w:sz w:val="19"/>
                <w:szCs w:val="19"/>
              </w:rPr>
              <w:t xml:space="preserve">$308,391</w:t>
            </w:r>
          </w:p>
        </w:tc>
        <w:tc>
          <w:tcPr>
            <w:tcW w:type="dxa" w:w="2520"/>
            <w:shd w:fill="FFFFFF" w:color="auto" w:val="clear"/>
            <w:tcMar>
              <w:top w:type="dxa" w:w="90"/>
              <w:left w:type="dxa" w:w="120"/>
              <w:bottom w:type="dxa" w:w="90"/>
              <w:right w:type="dxa" w:w="120"/>
            </w:tcMar>
          </w:tcPr>
          <w:p>
            <w:r>
              <w:rPr>
                <w:sz w:val="19"/>
                <w:szCs w:val="19"/>
              </w:rPr>
              <w:t xml:space="preserve">$108,002</w:t>
            </w:r>
          </w:p>
        </w:tc>
        <w:tc>
          <w:tcPr>
            <w:tcW w:type="dxa" w:w="2520"/>
            <w:shd w:fill="FFFFFF" w:color="auto" w:val="clear"/>
            <w:tcMar>
              <w:top w:type="dxa" w:w="90"/>
              <w:left w:type="dxa" w:w="120"/>
              <w:bottom w:type="dxa" w:w="90"/>
              <w:right w:type="dxa" w:w="120"/>
            </w:tcMar>
          </w:tcPr>
          <w:p>
            <w:r>
              <w:rPr>
                <w:sz w:val="19"/>
                <w:szCs w:val="19"/>
              </w:rPr>
              <w:t xml:space="preserve">35.0%</w:t>
            </w:r>
          </w:p>
        </w:tc>
      </w:tr>
      <w:tr>
        <w:tc>
          <w:tcPr>
            <w:tcW w:type="dxa" w:w="2520"/>
            <w:shd w:fill="F5F7FA" w:color="auto" w:val="clear"/>
            <w:tcMar>
              <w:top w:type="dxa" w:w="90"/>
              <w:left w:type="dxa" w:w="120"/>
              <w:bottom w:type="dxa" w:w="90"/>
              <w:right w:type="dxa" w:w="120"/>
            </w:tcMar>
          </w:tcPr>
          <w:p>
            <w:r>
              <w:rPr>
                <w:sz w:val="19"/>
                <w:szCs w:val="19"/>
              </w:rPr>
              <w:t xml:space="preserve">Apparel</w:t>
            </w:r>
          </w:p>
        </w:tc>
        <w:tc>
          <w:tcPr>
            <w:tcW w:type="dxa" w:w="2520"/>
            <w:shd w:fill="F5F7FA" w:color="auto" w:val="clear"/>
            <w:tcMar>
              <w:top w:type="dxa" w:w="90"/>
              <w:left w:type="dxa" w:w="120"/>
              <w:bottom w:type="dxa" w:w="90"/>
              <w:right w:type="dxa" w:w="120"/>
            </w:tcMar>
          </w:tcPr>
          <w:p>
            <w:r>
              <w:rPr>
                <w:sz w:val="19"/>
                <w:szCs w:val="19"/>
              </w:rPr>
              <w:t xml:space="preserve">$250,601</w:t>
            </w:r>
          </w:p>
        </w:tc>
        <w:tc>
          <w:tcPr>
            <w:tcW w:type="dxa" w:w="2520"/>
            <w:shd w:fill="F5F7FA" w:color="auto" w:val="clear"/>
            <w:tcMar>
              <w:top w:type="dxa" w:w="90"/>
              <w:left w:type="dxa" w:w="120"/>
              <w:bottom w:type="dxa" w:w="90"/>
              <w:right w:type="dxa" w:w="120"/>
            </w:tcMar>
          </w:tcPr>
          <w:p>
            <w:r>
              <w:rPr>
                <w:sz w:val="19"/>
                <w:szCs w:val="19"/>
              </w:rPr>
              <w:t xml:space="preserve">$112,766</w:t>
            </w:r>
          </w:p>
        </w:tc>
        <w:tc>
          <w:tcPr>
            <w:tcW w:type="dxa" w:w="2520"/>
            <w:shd w:fill="F5F7FA" w:color="auto" w:val="clear"/>
            <w:tcMar>
              <w:top w:type="dxa" w:w="90"/>
              <w:left w:type="dxa" w:w="120"/>
              <w:bottom w:type="dxa" w:w="90"/>
              <w:right w:type="dxa" w:w="120"/>
            </w:tcMar>
          </w:tcPr>
          <w:p>
            <w:r>
              <w:rPr>
                <w:sz w:val="19"/>
                <w:szCs w:val="19"/>
              </w:rPr>
              <w:t xml:space="preserve">45.0%</w:t>
            </w:r>
          </w:p>
        </w:tc>
      </w:tr>
      <w:tr>
        <w:tc>
          <w:tcPr>
            <w:tcW w:type="dxa" w:w="2520"/>
            <w:shd w:fill="FFFFFF" w:color="auto" w:val="clear"/>
            <w:tcMar>
              <w:top w:type="dxa" w:w="90"/>
              <w:left w:type="dxa" w:w="120"/>
              <w:bottom w:type="dxa" w:w="90"/>
              <w:right w:type="dxa" w:w="120"/>
            </w:tcMar>
          </w:tcPr>
          <w:p>
            <w:r>
              <w:rPr>
                <w:sz w:val="19"/>
                <w:szCs w:val="19"/>
              </w:rPr>
              <w:t xml:space="preserve">Office Supplies</w:t>
            </w:r>
          </w:p>
        </w:tc>
        <w:tc>
          <w:tcPr>
            <w:tcW w:type="dxa" w:w="2520"/>
            <w:shd w:fill="FFFFFF" w:color="auto" w:val="clear"/>
            <w:tcMar>
              <w:top w:type="dxa" w:w="90"/>
              <w:left w:type="dxa" w:w="120"/>
              <w:bottom w:type="dxa" w:w="90"/>
              <w:right w:type="dxa" w:w="120"/>
            </w:tcMar>
          </w:tcPr>
          <w:p>
            <w:r>
              <w:rPr>
                <w:sz w:val="19"/>
                <w:szCs w:val="19"/>
              </w:rPr>
              <w:t xml:space="preserve">$155,314</w:t>
            </w:r>
          </w:p>
        </w:tc>
        <w:tc>
          <w:tcPr>
            <w:tcW w:type="dxa" w:w="2520"/>
            <w:shd w:fill="FFFFFF" w:color="auto" w:val="clear"/>
            <w:tcMar>
              <w:top w:type="dxa" w:w="90"/>
              <w:left w:type="dxa" w:w="120"/>
              <w:bottom w:type="dxa" w:w="90"/>
              <w:right w:type="dxa" w:w="120"/>
            </w:tcMar>
          </w:tcPr>
          <w:p>
            <w:r>
              <w:rPr>
                <w:sz w:val="19"/>
                <w:szCs w:val="19"/>
              </w:rPr>
              <w:t xml:space="preserve">$46,365</w:t>
            </w:r>
          </w:p>
        </w:tc>
        <w:tc>
          <w:tcPr>
            <w:tcW w:type="dxa" w:w="2520"/>
            <w:shd w:fill="FFFFFF" w:color="auto" w:val="clear"/>
            <w:tcMar>
              <w:top w:type="dxa" w:w="90"/>
              <w:left w:type="dxa" w:w="120"/>
              <w:bottom w:type="dxa" w:w="90"/>
              <w:right w:type="dxa" w:w="120"/>
            </w:tcMar>
          </w:tcPr>
          <w:p>
            <w:r>
              <w:rPr>
                <w:sz w:val="19"/>
                <w:szCs w:val="19"/>
              </w:rPr>
              <w:t xml:space="preserve">29.9%</w:t>
            </w:r>
          </w:p>
        </w:tc>
      </w:tr>
    </w:tbl>
    <w:p>
      <w:pPr>
        <w:spacing w:after="2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pStyle w:val="Heading2"/>
        <w:spacing w:after="120" w:before="260"/>
      </w:pPr>
      <w:r>
        <w:rPr>
          <w:b/>
          <w:bCs/>
          <w:color w:val="2E5EAA"/>
          <w:sz w:val="24"/>
          <w:szCs w:val="24"/>
        </w:rPr>
        <w:t xml:space="preserve">Insight</w:t>
      </w:r>
    </w:p>
    <w:p>
      <w:pPr>
        <w:pStyle w:val="ListParagraph"/>
        <w:numPr>
          <w:ilvl w:val="0"/>
          <w:numId w:val="1"/>
        </w:numPr>
        <w:spacing w:after="90" w:line="280"/>
      </w:pPr>
      <w:r>
        <w:rPr>
          <w:color w:val="222222"/>
          <w:sz w:val="21"/>
          <w:szCs w:val="21"/>
        </w:rPr>
        <w:t xml:space="preserve">Apparel converts revenue into profit most efficiently (~45% margin) — worth expanding assortment even though it's currently the lowest-revenue category.</w:t>
      </w:r>
    </w:p>
    <w:p>
      <w:pPr>
        <w:pStyle w:val="ListParagraph"/>
        <w:numPr>
          <w:ilvl w:val="0"/>
          <w:numId w:val="1"/>
        </w:numPr>
        <w:spacing w:after="90" w:line="280"/>
      </w:pPr>
      <w:r>
        <w:rPr>
          <w:color w:val="222222"/>
          <w:sz w:val="21"/>
          <w:szCs w:val="21"/>
        </w:rPr>
        <w:t xml:space="preserve">Electronics has the lowest margin (~26%) despite strong sales volume — likely due to competitive pricing pressure or higher discounting; worth a pricing/discount-policy review.</w:t>
      </w:r>
    </w:p>
    <w:p>
      <w:pPr>
        <w:spacing w:after="160" w:line="300"/>
      </w:pPr>
      <w:r>
        <w:rPr>
          <w:color w:val="222222"/>
          <w:sz w:val="21"/>
          <w:szCs w:val="21"/>
        </w:rPr>
        <w:t xml:space="preserve">Regionally, performance is fairly balanced, with no single region dominating:</w:t>
      </w:r>
    </w:p>
    <w:p>
      <w:pPr>
        <w:spacing w:after="22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432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100"/>
              <w:left w:type="dxa" w:w="120"/>
              <w:bottom w:type="dxa" w:w="100"/>
              <w:right w:type="dxa" w:w="120"/>
            </w:tcMar>
          </w:tcPr>
          <w:p>
            <w:r>
              <w:rPr>
                <w:b/>
                <w:bCs/>
                <w:color w:val="FFFFFF"/>
                <w:sz w:val="19"/>
                <w:szCs w:val="19"/>
              </w:rPr>
              <w:t xml:space="preserve">Region</w:t>
            </w:r>
          </w:p>
        </w:tc>
        <w:tc>
          <w:tcPr>
            <w:tcW w:type="dxa" w:w="5040"/>
            <w:shd w:fill="1F3864" w:color="auto" w:val="clear"/>
            <w:tcMar>
              <w:top w:type="dxa" w:w="100"/>
              <w:left w:type="dxa" w:w="120"/>
              <w:bottom w:type="dxa" w:w="100"/>
              <w:right w:type="dxa" w:w="120"/>
            </w:tcMar>
          </w:tcPr>
          <w:p>
            <w:r>
              <w:rPr>
                <w:b/>
                <w:bCs/>
                <w:color w:val="FFFFFF"/>
                <w:sz w:val="19"/>
                <w:szCs w:val="19"/>
              </w:rPr>
              <w:t xml:space="preserve">Net Sales</w:t>
            </w:r>
          </w:p>
        </w:tc>
      </w:tr>
      <w:tr>
        <w:tc>
          <w:tcPr>
            <w:tcW w:type="dxa" w:w="5040"/>
            <w:shd w:fill="FFFFFF" w:color="auto" w:val="clear"/>
            <w:tcMar>
              <w:top w:type="dxa" w:w="90"/>
              <w:left w:type="dxa" w:w="120"/>
              <w:bottom w:type="dxa" w:w="90"/>
              <w:right w:type="dxa" w:w="120"/>
            </w:tcMar>
          </w:tcPr>
          <w:p>
            <w:r>
              <w:rPr>
                <w:sz w:val="19"/>
                <w:szCs w:val="19"/>
              </w:rPr>
              <w:t xml:space="preserve">East</w:t>
            </w:r>
          </w:p>
        </w:tc>
        <w:tc>
          <w:tcPr>
            <w:tcW w:type="dxa" w:w="5040"/>
            <w:shd w:fill="FFFFFF" w:color="auto" w:val="clear"/>
            <w:tcMar>
              <w:top w:type="dxa" w:w="90"/>
              <w:left w:type="dxa" w:w="120"/>
              <w:bottom w:type="dxa" w:w="90"/>
              <w:right w:type="dxa" w:w="120"/>
            </w:tcMar>
          </w:tcPr>
          <w:p>
            <w:r>
              <w:rPr>
                <w:sz w:val="19"/>
                <w:szCs w:val="19"/>
              </w:rPr>
              <w:t xml:space="preserve">$388,727</w:t>
            </w:r>
          </w:p>
        </w:tc>
      </w:tr>
      <w:tr>
        <w:tc>
          <w:tcPr>
            <w:tcW w:type="dxa" w:w="5040"/>
            <w:shd w:fill="F5F7FA" w:color="auto" w:val="clear"/>
            <w:tcMar>
              <w:top w:type="dxa" w:w="90"/>
              <w:left w:type="dxa" w:w="120"/>
              <w:bottom w:type="dxa" w:w="90"/>
              <w:right w:type="dxa" w:w="120"/>
            </w:tcMar>
          </w:tcPr>
          <w:p>
            <w:r>
              <w:rPr>
                <w:sz w:val="19"/>
                <w:szCs w:val="19"/>
              </w:rPr>
              <w:t xml:space="preserve">West</w:t>
            </w:r>
          </w:p>
        </w:tc>
        <w:tc>
          <w:tcPr>
            <w:tcW w:type="dxa" w:w="5040"/>
            <w:shd w:fill="F5F7FA" w:color="auto" w:val="clear"/>
            <w:tcMar>
              <w:top w:type="dxa" w:w="90"/>
              <w:left w:type="dxa" w:w="120"/>
              <w:bottom w:type="dxa" w:w="90"/>
              <w:right w:type="dxa" w:w="120"/>
            </w:tcMar>
          </w:tcPr>
          <w:p>
            <w:r>
              <w:rPr>
                <w:sz w:val="19"/>
                <w:szCs w:val="19"/>
              </w:rPr>
              <w:t xml:space="preserve">$384,343</w:t>
            </w:r>
          </w:p>
        </w:tc>
      </w:tr>
      <w:tr>
        <w:tc>
          <w:tcPr>
            <w:tcW w:type="dxa" w:w="5040"/>
            <w:shd w:fill="FFFFFF" w:color="auto" w:val="clear"/>
            <w:tcMar>
              <w:top w:type="dxa" w:w="90"/>
              <w:left w:type="dxa" w:w="120"/>
              <w:bottom w:type="dxa" w:w="90"/>
              <w:right w:type="dxa" w:w="120"/>
            </w:tcMar>
          </w:tcPr>
          <w:p>
            <w:r>
              <w:rPr>
                <w:sz w:val="19"/>
                <w:szCs w:val="19"/>
              </w:rPr>
              <w:t xml:space="preserve">North</w:t>
            </w:r>
          </w:p>
        </w:tc>
        <w:tc>
          <w:tcPr>
            <w:tcW w:type="dxa" w:w="5040"/>
            <w:shd w:fill="FFFFFF" w:color="auto" w:val="clear"/>
            <w:tcMar>
              <w:top w:type="dxa" w:w="90"/>
              <w:left w:type="dxa" w:w="120"/>
              <w:bottom w:type="dxa" w:w="90"/>
              <w:right w:type="dxa" w:w="120"/>
            </w:tcMar>
          </w:tcPr>
          <w:p>
            <w:r>
              <w:rPr>
                <w:sz w:val="19"/>
                <w:szCs w:val="19"/>
              </w:rPr>
              <w:t xml:space="preserve">$378,279</w:t>
            </w:r>
          </w:p>
        </w:tc>
      </w:tr>
      <w:tr>
        <w:tc>
          <w:tcPr>
            <w:tcW w:type="dxa" w:w="5040"/>
            <w:shd w:fill="F5F7FA" w:color="auto" w:val="clear"/>
            <w:tcMar>
              <w:top w:type="dxa" w:w="90"/>
              <w:left w:type="dxa" w:w="120"/>
              <w:bottom w:type="dxa" w:w="90"/>
              <w:right w:type="dxa" w:w="120"/>
            </w:tcMar>
          </w:tcPr>
          <w:p>
            <w:r>
              <w:rPr>
                <w:sz w:val="19"/>
                <w:szCs w:val="19"/>
              </w:rPr>
              <w:t xml:space="preserve">South</w:t>
            </w:r>
          </w:p>
        </w:tc>
        <w:tc>
          <w:tcPr>
            <w:tcW w:type="dxa" w:w="5040"/>
            <w:shd w:fill="F5F7FA" w:color="auto" w:val="clear"/>
            <w:tcMar>
              <w:top w:type="dxa" w:w="90"/>
              <w:left w:type="dxa" w:w="120"/>
              <w:bottom w:type="dxa" w:w="90"/>
              <w:right w:type="dxa" w:w="120"/>
            </w:tcMar>
          </w:tcPr>
          <w:p>
            <w:r>
              <w:rPr>
                <w:sz w:val="19"/>
                <w:szCs w:val="19"/>
              </w:rPr>
              <w:t xml:space="preserve">$367,011</w:t>
            </w:r>
          </w:p>
        </w:tc>
      </w:tr>
    </w:tbl>
    <w:p>
      <w:pPr>
        <w:pStyle w:val="ListParagraph"/>
        <w:numPr>
          <w:ilvl w:val="0"/>
          <w:numId w:val="1"/>
        </w:numPr>
        <w:spacing w:after="90" w:line="280"/>
      </w:pPr>
      <w:r>
        <w:rPr>
          <w:color w:val="222222"/>
          <w:sz w:val="21"/>
          <w:szCs w:val="21"/>
        </w:rPr>
        <w:t xml:space="preserve">East and West regions lead marginally, but the spread across all four regions is under 6% — the business has a well-diversified geographic footprint rather than a single dependent market.</w:t>
      </w:r>
    </w:p>
    <w:p>
      <w:pPr>
        <w:pStyle w:val="Heading1"/>
        <w:pBdr>
          <w:bottom w:val="single" w:color="2E5EAA" w:sz="6" w:space="4"/>
        </w:pBdr>
        <w:spacing w:after="160" w:before="320"/>
      </w:pPr>
      <w:r>
        <w:rPr>
          <w:b/>
          <w:bCs/>
          <w:color w:val="1F3864"/>
          <w:sz w:val="30"/>
          <w:szCs w:val="30"/>
        </w:rPr>
        <w:t xml:space="preserve">4. Sales Channel Performance</w:t>
      </w:r>
    </w:p>
    <w:p>
      <w:pPr>
        <w:spacing w:after="160" w:line="300"/>
      </w:pPr>
      <w:r>
        <w:rPr>
          <w:color w:val="222222"/>
          <w:sz w:val="21"/>
          <w:szCs w:val="21"/>
        </w:rPr>
        <w:t xml:space="preserve">Online is by far the strongest channel, generating over twice the revenue of Retail Store and Marketplace combined. This reflects the broader shift toward e-commerce and suggests where future investment will have the greatest return.</w:t>
      </w:r>
    </w:p>
    <w:p>
      <w:pPr>
        <w:spacing w:after="2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4322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100"/>
              <w:left w:type="dxa" w:w="120"/>
              <w:bottom w:type="dxa" w:w="100"/>
              <w:right w:type="dxa" w:w="120"/>
            </w:tcMar>
          </w:tcPr>
          <w:p>
            <w:r>
              <w:rPr>
                <w:b/>
                <w:bCs/>
                <w:color w:val="FFFFFF"/>
                <w:sz w:val="19"/>
                <w:szCs w:val="19"/>
              </w:rPr>
              <w:t xml:space="preserve">Channel</w:t>
            </w:r>
          </w:p>
        </w:tc>
        <w:tc>
          <w:tcPr>
            <w:tcW w:type="dxa" w:w="5040"/>
            <w:shd w:fill="1F3864" w:color="auto" w:val="clear"/>
            <w:tcMar>
              <w:top w:type="dxa" w:w="100"/>
              <w:left w:type="dxa" w:w="120"/>
              <w:bottom w:type="dxa" w:w="100"/>
              <w:right w:type="dxa" w:w="120"/>
            </w:tcMar>
          </w:tcPr>
          <w:p>
            <w:r>
              <w:rPr>
                <w:b/>
                <w:bCs/>
                <w:color w:val="FFFFFF"/>
                <w:sz w:val="19"/>
                <w:szCs w:val="19"/>
              </w:rPr>
              <w:t xml:space="preserve">Net Sales</w:t>
            </w:r>
          </w:p>
        </w:tc>
      </w:tr>
      <w:tr>
        <w:tc>
          <w:tcPr>
            <w:tcW w:type="dxa" w:w="5040"/>
            <w:shd w:fill="FFFFFF" w:color="auto" w:val="clear"/>
            <w:tcMar>
              <w:top w:type="dxa" w:w="90"/>
              <w:left w:type="dxa" w:w="120"/>
              <w:bottom w:type="dxa" w:w="90"/>
              <w:right w:type="dxa" w:w="120"/>
            </w:tcMar>
          </w:tcPr>
          <w:p>
            <w:r>
              <w:rPr>
                <w:sz w:val="19"/>
                <w:szCs w:val="19"/>
              </w:rPr>
              <w:t xml:space="preserve">Online</w:t>
            </w:r>
          </w:p>
        </w:tc>
        <w:tc>
          <w:tcPr>
            <w:tcW w:type="dxa" w:w="5040"/>
            <w:shd w:fill="FFFFFF" w:color="auto" w:val="clear"/>
            <w:tcMar>
              <w:top w:type="dxa" w:w="90"/>
              <w:left w:type="dxa" w:w="120"/>
              <w:bottom w:type="dxa" w:w="90"/>
              <w:right w:type="dxa" w:w="120"/>
            </w:tcMar>
          </w:tcPr>
          <w:p>
            <w:r>
              <w:rPr>
                <w:sz w:val="19"/>
                <w:szCs w:val="19"/>
              </w:rPr>
              <w:t xml:space="preserve">$839,248</w:t>
            </w:r>
          </w:p>
        </w:tc>
      </w:tr>
      <w:tr>
        <w:tc>
          <w:tcPr>
            <w:tcW w:type="dxa" w:w="5040"/>
            <w:shd w:fill="F5F7FA" w:color="auto" w:val="clear"/>
            <w:tcMar>
              <w:top w:type="dxa" w:w="90"/>
              <w:left w:type="dxa" w:w="120"/>
              <w:bottom w:type="dxa" w:w="90"/>
              <w:right w:type="dxa" w:w="120"/>
            </w:tcMar>
          </w:tcPr>
          <w:p>
            <w:r>
              <w:rPr>
                <w:sz w:val="19"/>
                <w:szCs w:val="19"/>
              </w:rPr>
              <w:t xml:space="preserve">Retail Store</w:t>
            </w:r>
          </w:p>
        </w:tc>
        <w:tc>
          <w:tcPr>
            <w:tcW w:type="dxa" w:w="5040"/>
            <w:shd w:fill="F5F7FA" w:color="auto" w:val="clear"/>
            <w:tcMar>
              <w:top w:type="dxa" w:w="90"/>
              <w:left w:type="dxa" w:w="120"/>
              <w:bottom w:type="dxa" w:w="90"/>
              <w:right w:type="dxa" w:w="120"/>
            </w:tcMar>
          </w:tcPr>
          <w:p>
            <w:r>
              <w:rPr>
                <w:sz w:val="19"/>
                <w:szCs w:val="19"/>
              </w:rPr>
              <w:t xml:space="preserve">$379,695</w:t>
            </w:r>
          </w:p>
        </w:tc>
      </w:tr>
      <w:tr>
        <w:tc>
          <w:tcPr>
            <w:tcW w:type="dxa" w:w="5040"/>
            <w:shd w:fill="FFFFFF" w:color="auto" w:val="clear"/>
            <w:tcMar>
              <w:top w:type="dxa" w:w="90"/>
              <w:left w:type="dxa" w:w="120"/>
              <w:bottom w:type="dxa" w:w="90"/>
              <w:right w:type="dxa" w:w="120"/>
            </w:tcMar>
          </w:tcPr>
          <w:p>
            <w:r>
              <w:rPr>
                <w:sz w:val="19"/>
                <w:szCs w:val="19"/>
              </w:rPr>
              <w:t xml:space="preserve">Marketplace</w:t>
            </w:r>
          </w:p>
        </w:tc>
        <w:tc>
          <w:tcPr>
            <w:tcW w:type="dxa" w:w="5040"/>
            <w:shd w:fill="FFFFFF" w:color="auto" w:val="clear"/>
            <w:tcMar>
              <w:top w:type="dxa" w:w="90"/>
              <w:left w:type="dxa" w:w="120"/>
              <w:bottom w:type="dxa" w:w="90"/>
              <w:right w:type="dxa" w:w="120"/>
            </w:tcMar>
          </w:tcPr>
          <w:p>
            <w:r>
              <w:rPr>
                <w:sz w:val="19"/>
                <w:szCs w:val="19"/>
              </w:rPr>
              <w:t xml:space="preserve">$299,417</w:t>
            </w:r>
          </w:p>
        </w:tc>
      </w:tr>
    </w:tbl>
    <w:p>
      <w:pPr>
        <w:pStyle w:val="Heading2"/>
        <w:spacing w:after="120" w:before="260"/>
      </w:pPr>
      <w:r>
        <w:rPr>
          <w:b/>
          <w:bCs/>
          <w:color w:val="2E5EAA"/>
          <w:sz w:val="24"/>
          <w:szCs w:val="24"/>
        </w:rPr>
        <w:t xml:space="preserve">Insight</w:t>
      </w:r>
    </w:p>
    <w:p>
      <w:pPr>
        <w:pStyle w:val="ListParagraph"/>
        <w:numPr>
          <w:ilvl w:val="0"/>
          <w:numId w:val="1"/>
        </w:numPr>
        <w:spacing w:after="90" w:line="280"/>
      </w:pPr>
      <w:r>
        <w:rPr>
          <w:color w:val="222222"/>
          <w:sz w:val="21"/>
          <w:szCs w:val="21"/>
        </w:rPr>
        <w:t xml:space="preserve">Online drives ~55% of total revenue — continued investment in site experience, digital ads, and online-exclusive promotions is likely to have the highest marginal return.</w:t>
      </w:r>
    </w:p>
    <w:p>
      <w:pPr>
        <w:pStyle w:val="ListParagraph"/>
        <w:numPr>
          <w:ilvl w:val="0"/>
          <w:numId w:val="1"/>
        </w:numPr>
        <w:spacing w:after="90" w:line="280"/>
      </w:pPr>
      <w:r>
        <w:rPr>
          <w:color w:val="222222"/>
          <w:sz w:val="21"/>
          <w:szCs w:val="21"/>
        </w:rPr>
        <w:t xml:space="preserve">Marketplace is the smallest channel — worth evaluating whether this reflects limited catalog listing, fee structure, or genuinely lower demand before deciding whether to expand or deprioritize it.</w:t>
      </w:r>
    </w:p>
    <w:p>
      <w:pPr>
        <w:pStyle w:val="Heading1"/>
        <w:pBdr>
          <w:bottom w:val="single" w:color="2E5EAA" w:sz="6" w:space="4"/>
        </w:pBdr>
        <w:spacing w:after="160" w:before="320"/>
      </w:pPr>
      <w:r>
        <w:rPr>
          <w:b/>
          <w:bCs/>
          <w:color w:val="1F3864"/>
          <w:sz w:val="30"/>
          <w:szCs w:val="30"/>
        </w:rPr>
        <w:t xml:space="preserve">5. Recommendations</w:t>
      </w:r>
    </w:p>
    <w:p>
      <w:pPr>
        <w:pStyle w:val="ListParagraph"/>
        <w:numPr>
          <w:ilvl w:val="0"/>
          <w:numId w:val="1"/>
        </w:numPr>
        <w:spacing w:after="90" w:line="280"/>
      </w:pPr>
      <w:r>
        <w:rPr>
          <w:color w:val="222222"/>
          <w:sz w:val="21"/>
          <w:szCs w:val="21"/>
        </w:rPr>
        <w:t xml:space="preserve">Double down on Q4: shift a larger share of marketing budget and inventory investment into September–December to capture the proven seasonal peak, rather than spreading spend evenly across the year.</w:t>
      </w:r>
    </w:p>
    <w:p>
      <w:pPr>
        <w:pStyle w:val="ListParagraph"/>
        <w:numPr>
          <w:ilvl w:val="0"/>
          <w:numId w:val="1"/>
        </w:numPr>
        <w:spacing w:after="90" w:line="280"/>
      </w:pPr>
      <w:r>
        <w:rPr>
          <w:color w:val="222222"/>
          <w:sz w:val="21"/>
          <w:szCs w:val="21"/>
        </w:rPr>
        <w:t xml:space="preserve">Protect and grow Apparel: its high margin makes it the most profitable category per dollar of sales — expanding the product range here compounds profit faster than growing lower-margin categories.</w:t>
      </w:r>
    </w:p>
    <w:p>
      <w:pPr>
        <w:pStyle w:val="ListParagraph"/>
        <w:numPr>
          <w:ilvl w:val="0"/>
          <w:numId w:val="1"/>
        </w:numPr>
        <w:spacing w:after="90" w:line="280"/>
      </w:pPr>
      <w:r>
        <w:rPr>
          <w:color w:val="222222"/>
          <w:sz w:val="21"/>
          <w:szCs w:val="21"/>
        </w:rPr>
        <w:t xml:space="preserve">Review Electronics pricing/discounting: investigate whether current discount levels or supplier costs are compressing margin, and test smaller discount tiers to see if volume holds.</w:t>
      </w:r>
    </w:p>
    <w:p>
      <w:pPr>
        <w:pStyle w:val="ListParagraph"/>
        <w:numPr>
          <w:ilvl w:val="0"/>
          <w:numId w:val="1"/>
        </w:numPr>
        <w:spacing w:after="90" w:line="280"/>
      </w:pPr>
      <w:r>
        <w:rPr>
          <w:color w:val="222222"/>
          <w:sz w:val="21"/>
          <w:szCs w:val="21"/>
        </w:rPr>
        <w:t xml:space="preserve">Prioritize the Online channel: allocate additional budget to digital marketing and website/app improvements, since it already delivers the highest revenue share and likely the best return on incremental spend.</w:t>
      </w:r>
    </w:p>
    <w:p>
      <w:pPr>
        <w:pStyle w:val="ListParagraph"/>
        <w:numPr>
          <w:ilvl w:val="0"/>
          <w:numId w:val="1"/>
        </w:numPr>
        <w:spacing w:after="90" w:line="280"/>
      </w:pPr>
      <w:r>
        <w:rPr>
          <w:color w:val="222222"/>
          <w:sz w:val="21"/>
          <w:szCs w:val="21"/>
        </w:rPr>
        <w:t xml:space="preserve">Use the January–February lull productively: run clearance campaigns, renegotiate supplier terms, or test new product launches when competitive and customer attention is lower.</w:t>
      </w:r>
    </w:p>
    <w:p>
      <w:pPr>
        <w:pStyle w:val="ListParagraph"/>
        <w:numPr>
          <w:ilvl w:val="0"/>
          <w:numId w:val="1"/>
        </w:numPr>
        <w:spacing w:after="90" w:line="280"/>
      </w:pPr>
      <w:r>
        <w:rPr>
          <w:color w:val="222222"/>
          <w:sz w:val="21"/>
          <w:szCs w:val="21"/>
        </w:rPr>
        <w:t xml:space="preserve">Re-evaluate the Marketplace channel: a focused audit (fees, listing coverage, ad spend) will clarify whether it's worth scaling or better used only for overflow inventory.</w:t>
      </w:r>
    </w:p>
    <w:p>
      <w:pPr>
        <w:pStyle w:val="Heading1"/>
        <w:pBdr>
          <w:bottom w:val="single" w:color="2E5EAA" w:sz="6" w:space="4"/>
        </w:pBdr>
        <w:spacing w:after="160" w:before="320"/>
      </w:pPr>
      <w:r>
        <w:rPr>
          <w:b/>
          <w:bCs/>
          <w:color w:val="1F3864"/>
          <w:sz w:val="30"/>
          <w:szCs w:val="30"/>
        </w:rPr>
        <w:t xml:space="preserve">6. Methodology</w:t>
      </w:r>
    </w:p>
    <w:p>
      <w:pPr>
        <w:spacing w:after="160" w:line="300"/>
      </w:pPr>
      <w:r>
        <w:rPr>
          <w:color w:val="222222"/>
          <w:sz w:val="21"/>
          <w:szCs w:val="21"/>
        </w:rPr>
        <w:t xml:space="preserve">This analysis uses a simulated dataset of 12,180 order line items spanning January 2024 to December 2025, modeled on realistic retail patterns across five product categories, four regions, and three sales channels, including holiday seasonality, weekday effects, discounting behavior, and year-over-year growth. In a live engagement, the same analytical framework (revenue trend, product ranking, category/region/channel breakdown, and margin analysis) would be applied directly to the client's raw transaction export after a data-cleaning pass (deduplication, currency normalization, and outlier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e0914d1f8cc15a7529aa1d6292c1ba8eef2df5.png"/><Relationship Id="rId8" Type="http://schemas.openxmlformats.org/officeDocument/2006/relationships/image" Target="media/fb9c1da04b5f1ce4622a9076be3857c5a4accf44.png"/><Relationship Id="rId9" Type="http://schemas.openxmlformats.org/officeDocument/2006/relationships/image" Target="media/bd50aeb36c2035442058a70096397406eb127d9c.png"/><Relationship Id="rId10" Type="http://schemas.openxmlformats.org/officeDocument/2006/relationships/image" Target="media/93d4b8162f3e41693d0033e57d2ab03e82866467.png"/><Relationship Id="rId11" Type="http://schemas.openxmlformats.org/officeDocument/2006/relationships/image" Target="media/07ddb733f63ea999d6bdb89e9783a109fcec5f68.png"/><Relationship Id="rId12" Type="http://schemas.openxmlformats.org/officeDocument/2006/relationships/image" Target="media/79127e96ac7f5c09303f3b14bc063412f753ffa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2026-07-03T17:33:11.495Z</dcterms:created>
  <dcterms:modified xsi:type="dcterms:W3CDTF">2026-07-03T17:33:11.496Z</dcterms:modified>
</cp:coreProperties>
</file>

<file path=docProps/custom.xml><?xml version="1.0" encoding="utf-8"?>
<Properties xmlns="http://schemas.openxmlformats.org/officeDocument/2006/custom-properties" xmlns:vt="http://schemas.openxmlformats.org/officeDocument/2006/docPropsVTypes"/>
</file>