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38"/>
        </w:rPr>
        <w:t>熔喷视觉检测软件重新设计计划</w:t>
      </w:r>
    </w:p>
    <w:p>
      <w:pPr>
        <w:spacing w:after="100" w:line="259" w:lineRule="auto"/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核心功能整改版 / 现场验证版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44"/>
        <w:gridCol w:w="8424"/>
      </w:tblGrid>
      <w:tr>
        <w:tc>
          <w:tcPr>
            <w:tcW w:type="dxa" w:w="194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项目项</w:t>
            </w:r>
          </w:p>
        </w:tc>
        <w:tc>
          <w:tcPr>
            <w:tcW w:type="dxa" w:w="842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计划说明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项目对象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熔喷视觉检测设备配套软件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周期定位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约两周、10 个工作日；本版不列具体起止日期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交付定位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核心功能整改版、现场验证版，后续根据现场连续运行继续优化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设计原则</w:t>
            </w:r>
          </w:p>
        </w:tc>
        <w:tc>
          <w:tcPr>
            <w:tcW w:type="dxa" w:w="84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复用现有相机 SDK、通讯接口、检测算法接口和关键配置，优先解决现场急需问题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一、设计目标</w:t>
      </w:r>
    </w:p>
    <w:p>
      <w:pPr>
        <w:spacing w:after="60" w:line="259" w:lineRule="auto"/>
      </w:pPr>
      <w:r>
        <w:rPr>
          <w:rFonts w:ascii="Calibri" w:hAnsi="Calibri" w:eastAsia="Microsoft YaHei"/>
          <w:b w:val="0"/>
          <w:sz w:val="19"/>
        </w:rPr>
        <w:t>本次重新设计不从零开发完整视觉平台，而是在现有软件和现场流程基础上重设检测业务模块，重点形成可运行、可追溯、可验证的现场版本。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843"/>
        <w:gridCol w:w="4824"/>
        <w:gridCol w:w="3700"/>
      </w:tblGrid>
      <w:tr>
        <w:tc>
          <w:tcPr>
            <w:tcW w:type="dxa" w:w="1843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目标方向</w:t>
            </w:r>
          </w:p>
        </w:tc>
        <w:tc>
          <w:tcPr>
            <w:tcW w:type="dxa" w:w="482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关键设计内容</w:t>
            </w:r>
          </w:p>
        </w:tc>
        <w:tc>
          <w:tcPr>
            <w:tcW w:type="dxa" w:w="3700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 / 验收要点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状态与报警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相机在线、离线、异常、断连状态统一建模；异常进入报警闭环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断连可发现、可报警、可记录、可恢复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数据与批号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检测数据、异常数据、批号数据统一保存；批号唯一性和修改审计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不覆盖、不误删、有权限控制和操作记录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幅宽追溯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幅宽上下限判断、异常报警、本地持久化、按批号和时间查询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幅宽异常可报警、可追溯、可复盘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报表统计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按时间范围、批号、产品和异常类型查询汇总并导出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满足生产复盘和质量追溯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操作优化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高频参数前置、参数分组、模板化配置、常见操作简化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降低误操作，提高现场使用效率</w:t>
            </w:r>
          </w:p>
        </w:tc>
      </w:tr>
      <w:tr>
        <w:tc>
          <w:tcPr>
            <w:tcW w:type="dxa" w:w="184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算法验证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多相机标定、AI 推理、缺陷位置计算和结果输出串联</w:t>
            </w:r>
          </w:p>
        </w:tc>
        <w:tc>
          <w:tcPr>
            <w:tcW w:type="dxa" w:w="37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算法链路现场可运行、结果可验证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二、范围边界</w:t>
      </w:r>
    </w:p>
    <w:p>
      <w:pPr>
        <w:pStyle w:val="ListBullet"/>
        <w:spacing w:after="20" w:line="252" w:lineRule="auto"/>
      </w:pPr>
      <w:r>
        <w:rPr>
          <w:rFonts w:ascii="Calibri" w:hAnsi="Calibri" w:eastAsia="Microsoft YaHei"/>
          <w:b w:val="0"/>
          <w:sz w:val="18"/>
        </w:rPr>
        <w:t>优先完成现场急需功能：相机状态、报警闭环、批号安全、幅宽追溯、报表统计、参数操作优化。</w:t>
      </w:r>
    </w:p>
    <w:p>
      <w:pPr>
        <w:pStyle w:val="ListBullet"/>
        <w:spacing w:after="20" w:line="252" w:lineRule="auto"/>
      </w:pPr>
      <w:r>
        <w:rPr>
          <w:rFonts w:ascii="Calibri" w:hAnsi="Calibri" w:eastAsia="Microsoft YaHei"/>
          <w:b w:val="0"/>
          <w:sz w:val="18"/>
        </w:rPr>
        <w:t>不承诺在本周期内完成所有极端场景、复杂统计图表、多语言、多工位扩展和完整自动化测试平台。</w:t>
      </w:r>
    </w:p>
    <w:p>
      <w:pPr>
        <w:pStyle w:val="ListBullet"/>
        <w:spacing w:after="20" w:line="252" w:lineRule="auto"/>
      </w:pPr>
      <w:r>
        <w:rPr>
          <w:rFonts w:ascii="Calibri" w:hAnsi="Calibri" w:eastAsia="Microsoft YaHei"/>
          <w:b w:val="0"/>
          <w:sz w:val="18"/>
        </w:rPr>
        <w:t>如旧软件无源码、相机链路不稳定、历史数据迁移复杂或检测算法需重写，应单独评估缓冲周期。</w:t>
      </w:r>
    </w:p>
    <w:p>
      <w:r>
        <w:br w:type="page"/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38"/>
        </w:rPr>
        <w:t>阶段计划与并行安排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三、阶段计划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468"/>
        <w:gridCol w:w="3859"/>
        <w:gridCol w:w="2808"/>
        <w:gridCol w:w="2232"/>
      </w:tblGrid>
      <w:tr>
        <w:tc>
          <w:tcPr>
            <w:tcW w:type="dxa" w:w="1468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3859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软件设计与开发主线</w:t>
            </w:r>
          </w:p>
        </w:tc>
        <w:tc>
          <w:tcPr>
            <w:tcW w:type="dxa" w:w="2808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算法 / 现场准备主线</w:t>
            </w:r>
          </w:p>
        </w:tc>
        <w:tc>
          <w:tcPr>
            <w:tcW w:type="dxa" w:w="2232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阶段输出</w:t>
            </w:r>
          </w:p>
        </w:tc>
      </w:tr>
      <w:tr>
        <w:tc>
          <w:tcPr>
            <w:tcW w:type="dxa" w:w="14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阶段一：启动与设计</w:t>
            </w:r>
          </w:p>
        </w:tc>
        <w:tc>
          <w:tcPr>
            <w:tcW w:type="dxa" w:w="385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梳理旧软件功能、相机接口、数据库结构、生产流程和整改优先级；设计模块结构、状态模型、报警模型、批号模型、幅宽数据表和报表结构</w:t>
            </w:r>
          </w:p>
        </w:tc>
        <w:tc>
          <w:tcPr>
            <w:tcW w:type="dxa" w:w="28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确认标定板、显卡、驱动、CUDA、推理环境；启动现场数据标注；明确算法输入输出格式</w:t>
            </w:r>
          </w:p>
        </w:tc>
        <w:tc>
          <w:tcPr>
            <w:tcW w:type="dxa" w:w="223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需求清单、功能边界、风险清单、技术方案、数据库 / 配置方案</w:t>
            </w:r>
          </w:p>
        </w:tc>
      </w:tr>
      <w:tr>
        <w:tc>
          <w:tcPr>
            <w:tcW w:type="dxa" w:w="14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阶段二：采集与报警闭环</w:t>
            </w:r>
          </w:p>
        </w:tc>
        <w:tc>
          <w:tcPr>
            <w:tcW w:type="dxa" w:w="385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实现相机连接、心跳、在线 / 离线状态、断线报警、自动重连和日志；接入采图失败、黑屏 / 花屏、模糊、丢帧等异常判断</w:t>
            </w:r>
          </w:p>
        </w:tc>
        <w:tc>
          <w:tcPr>
            <w:tcW w:type="dxa" w:w="28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持续数据标注和模型训练；同步验证推理环境和模型版本</w:t>
            </w:r>
          </w:p>
        </w:tc>
        <w:tc>
          <w:tcPr>
            <w:tcW w:type="dxa" w:w="223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相机状态监控可用，图像异常报警闭环可验证</w:t>
            </w:r>
          </w:p>
        </w:tc>
      </w:tr>
      <w:tr>
        <w:tc>
          <w:tcPr>
            <w:tcW w:type="dxa" w:w="14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阶段三：数据安全与追溯</w:t>
            </w:r>
          </w:p>
        </w:tc>
        <w:tc>
          <w:tcPr>
            <w:tcW w:type="dxa" w:w="385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实现批号唯一性校验、冲突防护、受控修改、数据不覆盖、操作日志；实现幅宽上下限判断、异常报警、历史查询和追溯</w:t>
            </w:r>
          </w:p>
        </w:tc>
        <w:tc>
          <w:tcPr>
            <w:tcW w:type="dxa" w:w="28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固化可部署模型版本，准备标定和缺陷定位现场验证数据</w:t>
            </w:r>
          </w:p>
        </w:tc>
        <w:tc>
          <w:tcPr>
            <w:tcW w:type="dxa" w:w="223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批号冲突不导致数据丢失，幅宽数据可报警、可查询、可追溯</w:t>
            </w:r>
          </w:p>
        </w:tc>
      </w:tr>
      <w:tr>
        <w:tc>
          <w:tcPr>
            <w:tcW w:type="dxa" w:w="14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阶段四：报表、界面与联调</w:t>
            </w:r>
          </w:p>
        </w:tc>
        <w:tc>
          <w:tcPr>
            <w:tcW w:type="dxa" w:w="385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完成多维查询、异常统计、基础导出和查询性能优化；前置高频参数、参数分组和模板；开展全流程联调和关键问题修复</w:t>
            </w:r>
          </w:p>
        </w:tc>
        <w:tc>
          <w:tcPr>
            <w:tcW w:type="dxa" w:w="28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部署训练模型和推理环境；完成多相机标定、AI 推理、缺陷位置计算和算法模块串联验证</w:t>
            </w:r>
          </w:p>
        </w:tc>
        <w:tc>
          <w:tcPr>
            <w:tcW w:type="dxa" w:w="223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操作界面整改版、统计报表、初版说明文档、现场验证版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四、可并行内容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3384"/>
        <w:gridCol w:w="2620"/>
        <w:gridCol w:w="4363"/>
      </w:tblGrid>
      <w:tr>
        <w:tc>
          <w:tcPr>
            <w:tcW w:type="dxa" w:w="338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并行工作</w:t>
            </w:r>
          </w:p>
        </w:tc>
        <w:tc>
          <w:tcPr>
            <w:tcW w:type="dxa" w:w="2620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前置条件</w:t>
            </w:r>
          </w:p>
        </w:tc>
        <w:tc>
          <w:tcPr>
            <w:tcW w:type="dxa" w:w="4363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并行说明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需求梳理、标定板准备、显卡升级确认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可由项目、算法、现场人员分别推进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现场数据标注与软件整改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现场数据可获取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标注和训练从启动阶段开始，不等待软件全部完成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架构设计与算法接口约定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需求边界基本确认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同步确定输入、输出和落库格式，减少联调返工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相机状态监控与数据库基础结构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数据模型完成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采集链路和持久化框架可分人实现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异常图像报警与批号数据安全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报警模型和批号模型完成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业务相对独立，但统一接入日志和审计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幅宽追溯与报表查询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幅宽数据表和查询维度完成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保存接口先定后，报表统计可提前开发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UI 操作优化与后台功能开发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参数分组和操作清单完成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页面结构先行，随后绑定后台接口</w:t>
            </w:r>
          </w:p>
        </w:tc>
      </w:tr>
      <w:tr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说明文档与模块测试</w:t>
            </w:r>
          </w:p>
        </w:tc>
        <w:tc>
          <w:tcPr>
            <w:tcW w:type="dxa" w:w="26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核心流程基本确定</w:t>
            </w:r>
          </w:p>
        </w:tc>
        <w:tc>
          <w:tcPr>
            <w:tcW w:type="dxa" w:w="436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边开发边记录，模块完成后立即测试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38"/>
        </w:rPr>
        <w:t>依赖关系、验收与风险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五、必须串行或强依赖内容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4824"/>
        <w:gridCol w:w="5544"/>
      </w:tblGrid>
      <w:tr>
        <w:tc>
          <w:tcPr>
            <w:tcW w:type="dxa" w:w="482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串行链路</w:t>
            </w:r>
          </w:p>
        </w:tc>
        <w:tc>
          <w:tcPr>
            <w:tcW w:type="dxa" w:w="554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需求确认 -&gt; 架构与数据设计 -&gt; 模块开发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需求边界和数据结构未定时直接开发，容易造成返工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 SDK 接入 -&gt; 状态监控 -&gt; 断连报警 -&gt; 异常恢复测试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报警和恢复依赖稳定的相机连接状态判断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报警模型 -&gt; 图像异常 / 幅宽异常 / 相机断连报警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需要统一报警记录、确认、拦截或停机流程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批号模型 -&gt; 数据保存 -&gt; 历史查询 -&gt; 报表统计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报表依赖准确、不可覆盖、可追溯的数据来源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数据标注 -&gt; 模型训练 -&gt; 模型部署 -&gt; AI 推理验证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算法现场验证必须建立在可用模型和环境之上</w:t>
            </w:r>
          </w:p>
        </w:tc>
      </w:tr>
      <w:tr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单模块验证 -&gt; 全流程联调 -&gt; 交付验收</w:t>
            </w:r>
          </w:p>
        </w:tc>
        <w:tc>
          <w:tcPr>
            <w:tcW w:type="dxa" w:w="55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最终验收必须覆盖采集、检测、报警、存储、查询、导出全过程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六、验收安排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44"/>
        <w:gridCol w:w="3384"/>
        <w:gridCol w:w="5040"/>
      </w:tblGrid>
      <w:tr>
        <w:tc>
          <w:tcPr>
            <w:tcW w:type="dxa" w:w="194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验收节点</w:t>
            </w:r>
          </w:p>
        </w:tc>
        <w:tc>
          <w:tcPr>
            <w:tcW w:type="dxa" w:w="338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验收重点</w:t>
            </w:r>
          </w:p>
        </w:tc>
        <w:tc>
          <w:tcPr>
            <w:tcW w:type="dxa" w:w="5040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通过标准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阶段验收一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相机状态、断连报警、图像异常报警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相机状态清晰可见，断连和图像异常可报警并记录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阶段验收二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批号防冲突、幅宽数据存储、报表查询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批号不覆盖数据，幅宽可追溯，报表可按维度查询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交付验收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真实生产流程全链路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采集、检测、报警、存储、查询、导出全过程跑通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运行观察</w:t>
            </w:r>
          </w:p>
        </w:tc>
        <w:tc>
          <w:tcPr>
            <w:tcW w:type="dxa" w:w="338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现场连续运行稳定性</w:t>
            </w:r>
          </w:p>
        </w:tc>
        <w:tc>
          <w:tcPr>
            <w:tcW w:type="dxa" w:w="504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记录断连次数、报警准确性、查询性能和数据完整性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2E74B5"/>
          <w:sz w:val="26"/>
        </w:rPr>
        <w:t>七、风险与缓冲</w:t>
      </w:r>
    </w:p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592"/>
        <w:gridCol w:w="4824"/>
        <w:gridCol w:w="2951"/>
      </w:tblGrid>
      <w:tr>
        <w:tc>
          <w:tcPr>
            <w:tcW w:type="dxa" w:w="2592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风险项</w:t>
            </w:r>
          </w:p>
        </w:tc>
        <w:tc>
          <w:tcPr>
            <w:tcW w:type="dxa" w:w="482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影响说明</w:t>
            </w:r>
          </w:p>
        </w:tc>
        <w:tc>
          <w:tcPr>
            <w:tcW w:type="dxa" w:w="2951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处理建议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旧软件无源码或逻辑不清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需额外梳理业务流程、数据库字段和接口调用</w:t>
            </w:r>
          </w:p>
        </w:tc>
        <w:tc>
          <w:tcPr>
            <w:tcW w:type="dxa" w:w="29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增加梳理和验证缓冲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相机 SDK 或硬件链路不稳定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断连可能涉及供电、网线、网卡、触发信号和驱动</w:t>
            </w:r>
          </w:p>
        </w:tc>
        <w:tc>
          <w:tcPr>
            <w:tcW w:type="dxa" w:w="29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软件与硬件联合排查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历史数据迁移复杂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旧检测记录、批号记录、幅宽数据需要单独校验</w:t>
            </w:r>
          </w:p>
        </w:tc>
        <w:tc>
          <w:tcPr>
            <w:tcW w:type="dxa" w:w="29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迁移任务独立评估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现场连续运行验证不足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现场验证版不能替代长周期量产稳定性验证</w:t>
            </w:r>
          </w:p>
        </w:tc>
        <w:tc>
          <w:tcPr>
            <w:tcW w:type="dxa" w:w="29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交付后持续观察并优化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算法或检测规则重写</w:t>
            </w:r>
          </w:p>
        </w:tc>
        <w:tc>
          <w:tcPr>
            <w:tcW w:type="dxa" w:w="48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原算法不可复用会显著拉长周期</w:t>
            </w:r>
          </w:p>
        </w:tc>
        <w:tc>
          <w:tcPr>
            <w:tcW w:type="dxa" w:w="295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重新评估算法周期和人员投入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38"/>
        </w:rPr>
        <w:t>人员工作分配表</w:t>
      </w:r>
    </w:p>
    <w:p>
      <w:pPr>
        <w:spacing w:after="100" w:line="259" w:lineRule="auto"/>
      </w:pPr>
      <w:r>
        <w:rPr>
          <w:rFonts w:ascii="Calibri" w:hAnsi="Calibri" w:eastAsia="Microsoft YaHei"/>
          <w:b w:val="0"/>
          <w:color w:val="555555"/>
          <w:sz w:val="19"/>
        </w:rPr>
        <w:t>说明：以下表格用于指定对应人员负责相关工作。负责人和协作人员可在项目启动会后填写，交付标准用于后续跟踪和验收。</w:t>
      </w:r>
    </w:p>
    <w:tbl>
      <w:tblPr>
        <w:tblW w:type="dxa" w:w="1036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800"/>
        <w:gridCol w:w="3139"/>
        <w:gridCol w:w="1180"/>
        <w:gridCol w:w="1324"/>
        <w:gridCol w:w="2923"/>
      </w:tblGrid>
      <w:tr>
        <w:tc>
          <w:tcPr>
            <w:tcW w:type="dxa" w:w="1800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工作模块</w:t>
            </w:r>
          </w:p>
        </w:tc>
        <w:tc>
          <w:tcPr>
            <w:tcW w:type="dxa" w:w="3139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主要工作</w:t>
            </w:r>
          </w:p>
        </w:tc>
        <w:tc>
          <w:tcPr>
            <w:tcW w:type="dxa" w:w="1180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负责人</w:t>
            </w:r>
          </w:p>
        </w:tc>
        <w:tc>
          <w:tcPr>
            <w:tcW w:type="dxa" w:w="1324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协作人员</w:t>
            </w:r>
          </w:p>
        </w:tc>
        <w:tc>
          <w:tcPr>
            <w:tcW w:type="dxa" w:w="2923"/>
            <w:shd w:fill="E8EEF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交付 / 验收标准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 / 需求管理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需求边界、整改优先级、验收标准、对外沟通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需求清单、风险清单、验收口径确认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架构与数据设计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模块边界、数据模型、配置方案、接口约定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技术方案、数据库 / 配置方案确认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相机采集与状态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相机连接、心跳、在线 / 离线、断线重连、日志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相机状态监控可用，断连可恢复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报警闭环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相机掉线、图像异常、幅宽异常报警和确认流程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异常可报警、可记录、可确认或拦截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批号与数据安全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批号唯一性、冲突防护、受控修改、操作审计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批号冲突不覆盖、不删除历史数据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幅宽检测与追溯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上下限判断、异常报警、持久化、历史查询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幅宽数据可报警、可查询、可追溯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报表与历史查询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多维查询、异常统计、基础导出、查询性能优化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统计报表和导出功能可用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界面与参数操作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高频参数入口、参数分组、模板和常用操作简化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操作界面整改版可现场使用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算法与模型部署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标定板、显卡环境、数据标注、训练、部署和推理验证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标定、推理、缺陷定位链路可运行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测试、验收与文档</w:t>
            </w:r>
          </w:p>
        </w:tc>
        <w:tc>
          <w:tcPr>
            <w:tcW w:type="dxa" w:w="313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模块测试、全流程联调、操作说明、故障处理说明</w:t>
            </w:r>
          </w:p>
        </w:tc>
        <w:tc>
          <w:tcPr>
            <w:tcW w:type="dxa" w:w="118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132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____</w:t>
            </w:r>
          </w:p>
        </w:tc>
        <w:tc>
          <w:tcPr>
            <w:tcW w:type="dxa" w:w="2923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现场验证版、初版文档和问题清单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pgSz w:w="12240" w:h="15840"/>
      <w:pgMar w:top="835" w:right="893" w:bottom="835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555555"/>
        <w:sz w:val="17"/>
      </w:rPr>
      <w:t>熔喷视觉检测软件重新设计计划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熔喷视觉检测软件重新设计计划（4页版）</dc:title>
  <dc:subject>控制在四页内的软件设计计划与人员分工表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