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left"/>
      </w:pPr>
      <w:r>
        <w:rPr>
          <w:rFonts w:ascii="Arial" w:cs="Arial" w:eastAsia="Arial" w:hAnsi="Arial"/>
          <w:b/>
          <w:bCs/>
          <w:color w:val="4F46E5"/>
          <w:sz w:val="48"/>
          <w:szCs w:val="48"/>
        </w:rPr>
        <w:t xml:space="preserve">TestCrack for Institutes</w:t>
      </w:r>
    </w:p>
    <w:p>
      <w:pPr>
        <w:spacing w:after="480" w:before="0"/>
        <w:jc w:val="left"/>
      </w:pPr>
      <w:r>
        <w:rPr>
          <w:rFonts w:ascii="Arial" w:cs="Arial" w:eastAsia="Arial" w:hAnsi="Arial"/>
          <w:color w:val="475569"/>
          <w:sz w:val="30"/>
          <w:szCs w:val="30"/>
        </w:rPr>
        <w:t xml:space="preserve">Dashboard UX Recommendations Report</w:t>
      </w:r>
    </w:p>
    <w:p>
      <w:pPr>
        <w:pBdr>
          <w:bottom w:val="single" w:color="C7D2FE" w:sz="12" w:space="1"/>
        </w:pBdr>
        <w:spacing w:after="480" w:before="0"/>
      </w:pPr>
    </w:p>
    <w:p>
      <w:pPr>
        <w:spacing w:after="120" w:before="0"/>
      </w:pPr>
      <w:r>
        <w:rPr>
          <w:rFonts w:ascii="Arial" w:cs="Arial" w:eastAsia="Arial" w:hAnsi="Arial"/>
          <w:color w:val="94A3B8"/>
          <w:sz w:val="21"/>
          <w:szCs w:val="21"/>
        </w:rPr>
        <w:t xml:space="preserve">Prepared for </w:t>
      </w:r>
      <w:r>
        <w:rPr>
          <w:rFonts w:ascii="Arial" w:cs="Arial" w:eastAsia="Arial" w:hAnsi="Arial"/>
          <w:b/>
          <w:bCs/>
          <w:color w:val="334155"/>
          <w:sz w:val="21"/>
          <w:szCs w:val="21"/>
        </w:rPr>
        <w:t xml:space="preserve">Malayalam University</w:t>
      </w:r>
    </w:p>
    <w:p>
      <w:pPr>
        <w:spacing w:after="120" w:before="0"/>
      </w:pPr>
      <w:r>
        <w:rPr>
          <w:rFonts w:ascii="Arial" w:cs="Arial" w:eastAsia="Arial" w:hAnsi="Arial"/>
          <w:color w:val="94A3B8"/>
          <w:sz w:val="21"/>
          <w:szCs w:val="21"/>
        </w:rPr>
        <w:t xml:space="preserve">June 2026</w:t>
      </w:r>
    </w:p>
    <w:p>
      <w:pPr>
        <w:spacing w:after="0" w:before="0"/>
      </w:pPr>
      <w:r>
        <w:rPr>
          <w:rFonts w:ascii="Arial" w:cs="Arial" w:eastAsia="Arial" w:hAnsi="Arial"/>
          <w:color w:val="94A3B8"/>
          <w:sz w:val="21"/>
          <w:szCs w:val="21"/>
        </w:rPr>
        <w:t xml:space="preserve">Scope: Institute Admin &amp; Institute Owner Dashboards</w:t>
      </w:r>
    </w:p>
    <w:p>
      <w:pPr>
        <w:spacing w:after="0" w:before="2880"/>
      </w:pPr>
    </w:p>
    <w:p>
      <w:r>
        <w:br w:type="page"/>
      </w:r>
    </w:p>
    <w:p>
      <w:pPr>
        <w:sectPr>
          <w:pgSz w:w="12240" w:h="15840" w:orient="portrait"/>
          <w:pgMar w:top="1440" w:right="1440" w:bottom="1440" w:left="1440" w:header="708" w:footer="708" w:gutter="0"/>
          <w:pgNumType/>
          <w:docGrid w:linePitch="360"/>
        </w:sectPr>
      </w:pPr>
    </w:p>
    <w:p>
      <w:pPr>
        <w:spacing w:after="60" w:before="0"/>
      </w:pPr>
      <w:r>
        <w:rPr>
          <w:rFonts w:ascii="Arial" w:cs="Arial" w:eastAsia="Arial" w:hAnsi="Arial"/>
          <w:b/>
          <w:bCs/>
          <w:color w:val="4F46E5"/>
          <w:spacing w:val="80"/>
          <w:sz w:val="16"/>
          <w:szCs w:val="16"/>
        </w:rPr>
        <w:t xml:space="preserve">EXECUTIVE SUMMARY</w:t>
      </w:r>
    </w:p>
    <w:p>
      <w:pPr>
        <w:pStyle w:val="Heading1"/>
        <w:spacing w:after="200" w:before="0"/>
      </w:pPr>
      <w:r>
        <w:rPr>
          <w:rFonts w:ascii="Arial" w:cs="Arial" w:eastAsia="Arial" w:hAnsi="Arial"/>
        </w:rPr>
        <w:t xml:space="preserve">Overview</w:t>
      </w:r>
    </w:p>
    <w:p>
      <w:pPr>
        <w:spacing w:after="160" w:before="0"/>
      </w:pPr>
      <w:r>
        <w:rPr>
          <w:rFonts w:ascii="Arial" w:cs="Arial" w:eastAsia="Arial" w:hAnsi="Arial"/>
          <w:color w:val="334155"/>
          <w:sz w:val="21"/>
          <w:szCs w:val="21"/>
        </w:rPr>
        <w:t xml:space="preserve">This report identifies three dashboard sections across the TestCrack Institute portals that deliver low operational value in their current form. Each section is assessed against the daily workflow of its intended user, and a targeted replacement is proposed that surfaces more actionable information without adding new pages or navigation.</w:t>
      </w:r>
    </w:p>
    <w:p>
      <w:pPr>
        <w:spacing w:after="160" w:before="0"/>
      </w:pPr>
      <w:r>
        <w:rPr>
          <w:rFonts w:ascii="Arial" w:cs="Arial" w:eastAsia="Arial" w:hAnsi="Arial"/>
          <w:color w:val="334155"/>
          <w:sz w:val="21"/>
          <w:szCs w:val="21"/>
        </w:rPr>
        <w:t xml:space="preserve">The audit covers two portals: the Institute Admin dashboard (used by day-to-day administrators managing students, tutors, and batches) and the Institute Owner dashboard (used by owners monitoring business health and AI-driven outcomes).</w:t>
      </w:r>
    </w:p>
    <w:p>
      <w:pPr>
        <w:spacing w:after="0" w:before="120"/>
      </w:pPr>
    </w:p>
    <w:p>
      <w:pPr>
        <w:pBdr>
          <w:bottom w:val="single" w:color="E2E8F0" w:sz="6" w:space="1"/>
        </w:pBdr>
        <w:spacing w:after="240" w:before="0"/>
      </w:pPr>
      <w:r>
        <w:t xml:space="preserve"/>
      </w:r>
    </w:p>
    <w:p>
      <w:pPr>
        <w:spacing w:after="60" w:before="0"/>
      </w:pPr>
      <w:r>
        <w:rPr>
          <w:rFonts w:ascii="Arial" w:cs="Arial" w:eastAsia="Arial" w:hAnsi="Arial"/>
          <w:b/>
          <w:bCs/>
          <w:color w:val="4F46E5"/>
          <w:spacing w:val="80"/>
          <w:sz w:val="16"/>
          <w:szCs w:val="16"/>
        </w:rPr>
        <w:t xml:space="preserve">AT A GLANCE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3402"/>
      </w:tblGrid>
      <w:tr>
        <w:tc>
          <w:tcPr>
            <w:tcW w:type="dxa" w:w="2268"/>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Dashboard</w:t>
            </w:r>
          </w:p>
        </w:tc>
        <w:tc>
          <w:tcPr>
            <w:tcW w:type="dxa" w:w="3402"/>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Remove</w:t>
            </w:r>
          </w:p>
        </w:tc>
        <w:tc>
          <w:tcPr>
            <w:tcW w:type="dxa" w:w="3402"/>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Replace with</w:t>
            </w:r>
          </w:p>
        </w:tc>
      </w:tr>
      <w:tr>
        <w:tc>
          <w:tcPr>
            <w:tcW w:type="dxa" w:w="2268"/>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Institute Owner</w:t>
            </w:r>
          </w:p>
        </w:tc>
        <w:tc>
          <w:tcPr>
            <w:tcW w:type="dxa" w:w="3402"/>
            <w:tcBorders>
              <w:top w:val="single" w:color="E2E8F0" w:sz="1"/>
              <w:left w:val="single" w:color="E2E8F0" w:sz="1"/>
              <w:bottom w:val="single" w:color="E2E8F0" w:sz="1"/>
              <w:right w:val="single" w:color="E2E8F0" w:sz="1"/>
            </w:tcBorders>
            <w:shd w:fill="FFF1F2"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Cost Comparison (3-card section)</w:t>
            </w:r>
          </w:p>
        </w:tc>
        <w:tc>
          <w:tcPr>
            <w:tcW w:type="dxa" w:w="3402"/>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Batch Health Grid</w:t>
            </w:r>
          </w:p>
        </w:tc>
      </w:tr>
      <w:tr>
        <w:tc>
          <w:tcPr>
            <w:tcW w:type="dxa" w:w="2268"/>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Institute Owner</w:t>
            </w:r>
          </w:p>
        </w:tc>
        <w:tc>
          <w:tcPr>
            <w:tcW w:type="dxa" w:w="3402"/>
            <w:tcBorders>
              <w:top w:val="single" w:color="E2E8F0" w:sz="1"/>
              <w:left w:val="single" w:color="E2E8F0" w:sz="1"/>
              <w:bottom w:val="single" w:color="E2E8F0" w:sz="1"/>
              <w:right w:val="single" w:color="E2E8F0" w:sz="1"/>
            </w:tcBorders>
            <w:shd w:fill="FFF1F2"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Student Roster table (IELTS-only)</w:t>
            </w:r>
          </w:p>
        </w:tc>
        <w:tc>
          <w:tcPr>
            <w:tcW w:type="dxa" w:w="3402"/>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At-Risk Students widget</w:t>
            </w:r>
          </w:p>
        </w:tc>
      </w:tr>
      <w:tr>
        <w:tc>
          <w:tcPr>
            <w:tcW w:type="dxa" w:w="2268"/>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Institute Admin</w:t>
            </w:r>
          </w:p>
        </w:tc>
        <w:tc>
          <w:tcPr>
            <w:tcW w:type="dxa" w:w="3402"/>
            <w:tcBorders>
              <w:top w:val="single" w:color="E2E8F0" w:sz="1"/>
              <w:left w:val="single" w:color="E2E8F0" w:sz="1"/>
              <w:bottom w:val="single" w:color="E2E8F0" w:sz="1"/>
              <w:right w:val="single" w:color="E2E8F0" w:sz="1"/>
            </w:tcBorders>
            <w:shd w:fill="FFF1F2"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Tutor Accounts panel (read-only list)</w:t>
            </w:r>
          </w:p>
        </w:tc>
        <w:tc>
          <w:tcPr>
            <w:tcW w:type="dxa" w:w="3402"/>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spacing w:after="0" w:before="0"/>
            </w:pPr>
            <w:r>
              <w:rPr>
                <w:rFonts w:ascii="Arial" w:cs="Arial" w:eastAsia="Arial" w:hAnsi="Arial"/>
                <w:b w:val="false"/>
                <w:bCs w:val="false"/>
                <w:color w:val="334155"/>
                <w:sz w:val="19"/>
                <w:szCs w:val="19"/>
              </w:rPr>
              <w:t xml:space="preserve">Batch Capacity Alerts widget</w:t>
            </w:r>
          </w:p>
        </w:tc>
      </w:tr>
    </w:tbl>
    <w:p>
      <w:pPr>
        <w:spacing w:after="0" w:before="200"/>
      </w:pPr>
    </w:p>
    <w:p>
      <w:r>
        <w:br w:type="page"/>
      </w:r>
    </w:p>
    <w:p>
      <w:pPr>
        <w:spacing w:after="60" w:before="0"/>
      </w:pPr>
      <w:r>
        <w:rPr>
          <w:rFonts w:ascii="Arial" w:cs="Arial" w:eastAsia="Arial" w:hAnsi="Arial"/>
          <w:b/>
          <w:bCs/>
          <w:color w:val="4F46E5"/>
          <w:spacing w:val="80"/>
          <w:sz w:val="16"/>
          <w:szCs w:val="16"/>
        </w:rPr>
        <w:t xml:space="preserve">INSTITUTE OWNER DASHBOARD</w:t>
      </w:r>
    </w:p>
    <w:p>
      <w:pPr>
        <w:spacing w:after="160" w:before="360"/>
      </w:pPr>
      <w:r>
        <w:rPr>
          <w:rFonts w:ascii="Arial" w:cs="Arial" w:eastAsia="Arial" w:hAnsi="Arial"/>
          <w:b/>
          <w:bCs/>
          <w:color w:val="4F46E5"/>
          <w:sz w:val="28"/>
          <w:szCs w:val="28"/>
        </w:rPr>
        <w:t xml:space="preserve">01  </w:t>
      </w:r>
      <w:r>
        <w:rPr>
          <w:rFonts w:ascii="Arial" w:cs="Arial" w:eastAsia="Arial" w:hAnsi="Arial"/>
          <w:b/>
          <w:bCs/>
          <w:color w:val="0F172A"/>
          <w:sz w:val="28"/>
          <w:szCs w:val="28"/>
        </w:rPr>
        <w:t xml:space="preserve">Cost Comparison Section</w:t>
      </w:r>
    </w:p>
    <w:p>
      <w:pPr>
        <w:spacing w:after="160" w:before="0"/>
      </w:pPr>
      <w:r>
        <w:rPr>
          <w:rFonts w:ascii="Arial" w:cs="Arial" w:eastAsia="Arial" w:hAnsi="Arial"/>
          <w:color w:val="334155"/>
          <w:sz w:val="21"/>
          <w:szCs w:val="21"/>
        </w:rPr>
        <w:t xml:space="preserve">Located directly below the four top metric cards, this section presents three static cards: Manual Assessment Cost (₹525K/mo), AI-Powered Cost (₹263K/mo), and Net Monthly Savings (₹263K/mo).</w:t>
      </w:r>
    </w:p>
    <w:p>
      <w:pPr>
        <w:spacing w:after="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E2E8F0" w:sz="1"/>
              <w:left w:val="single" w:color="E2E8F0" w:sz="1"/>
              <w:bottom w:val="single" w:color="E2E8F0" w:sz="1"/>
              <w:right w:val="single" w:color="E2E8F0" w:sz="1"/>
            </w:tcBorders>
            <w:shd w:fill="FFF1F2" w:val="clear"/>
            <w:tcMar>
              <w:top w:type="dxa" w:w="120"/>
              <w:left w:type="dxa" w:w="160"/>
              <w:bottom w:type="dxa" w:w="120"/>
              <w:right w:type="dxa" w:w="160"/>
            </w:tcMar>
          </w:tcPr>
          <w:p>
            <w:pPr>
              <w:spacing w:after="100" w:before="0"/>
            </w:pPr>
            <w:r>
              <w:rPr>
                <w:rFonts w:ascii="Arial" w:cs="Arial" w:eastAsia="Arial" w:hAnsi="Arial"/>
                <w:b/>
                <w:bCs/>
                <w:color w:val="E11D48"/>
                <w:sz w:val="19"/>
                <w:szCs w:val="19"/>
              </w:rPr>
              <w:t xml:space="preserve">Why it does not belong here</w:t>
            </w:r>
          </w:p>
          <w:p>
            <w:pPr>
              <w:spacing w:after="0" w:before="0"/>
            </w:pPr>
            <w:r>
              <w:rPr>
                <w:rFonts w:ascii="Arial" w:cs="Arial" w:eastAsia="Arial" w:hAnsi="Arial"/>
                <w:color w:val="334155"/>
                <w:sz w:val="20"/>
                <w:szCs w:val="20"/>
              </w:rPr>
              <w:t xml:space="preserve">This is a sales pitch, not operational data. The owner has already purchased the platform — restating the cost justification on every dashboard visit adds no new information. The top metric cards above already surface 'AI Savings ₹263K', making this section a direct repetition. A dedicated ROI Analytics page (/institute-owner/roi) already covers this in depth with monthly breakdowns and cost-per-assessment drilldowns.</w:t>
            </w:r>
          </w:p>
        </w:tc>
        <w:tc>
          <w:tcPr>
            <w:tcW w:type="dxa" w:w="4536"/>
            <w:tcBorders>
              <w:top w:val="single" w:color="E2E8F0" w:sz="1"/>
              <w:left w:val="single" w:color="E2E8F0" w:sz="1"/>
              <w:bottom w:val="single" w:color="E2E8F0" w:sz="1"/>
              <w:right w:val="single" w:color="E2E8F0" w:sz="1"/>
            </w:tcBorders>
            <w:shd w:fill="ECFDF5" w:val="clear"/>
            <w:tcMar>
              <w:top w:type="dxa" w:w="120"/>
              <w:left w:type="dxa" w:w="160"/>
              <w:bottom w:type="dxa" w:w="120"/>
              <w:right w:type="dxa" w:w="160"/>
            </w:tcMar>
          </w:tcPr>
          <w:p>
            <w:pPr>
              <w:spacing w:after="100" w:before="0"/>
            </w:pPr>
            <w:r>
              <w:rPr>
                <w:rFonts w:ascii="Arial" w:cs="Arial" w:eastAsia="Arial" w:hAnsi="Arial"/>
                <w:b/>
                <w:bCs/>
                <w:color w:val="059669"/>
                <w:sz w:val="19"/>
                <w:szCs w:val="19"/>
              </w:rPr>
              <w:t xml:space="preserve">Recommended replacement: Batch Health Grid</w:t>
            </w:r>
          </w:p>
          <w:p>
            <w:pPr>
              <w:spacing w:after="0" w:before="0"/>
            </w:pPr>
            <w:r>
              <w:rPr>
                <w:rFonts w:ascii="Arial" w:cs="Arial" w:eastAsia="Arial" w:hAnsi="Arial"/>
                <w:color w:val="334155"/>
                <w:sz w:val="20"/>
                <w:szCs w:val="20"/>
              </w:rPr>
              <w:t xml:space="preserve">One card per active batch showing: enrollment fill % (with a near-full alert at &gt;85%), this week's attendance rate, and the batch's average score — each with a red/amber/green status indicator. This gives the owner an at-a-glance read of operational health every morning without navigating away from the dashboard.</w:t>
            </w:r>
          </w:p>
        </w:tc>
      </w:tr>
    </w:tbl>
    <w:p>
      <w:pPr>
        <w:spacing w:after="0" w:before="200"/>
      </w:pPr>
    </w:p>
    <w:p>
      <w:pPr>
        <w:spacing w:after="200" w:before="60"/>
      </w:pPr>
      <w:r>
        <w:rPr>
          <w:rFonts w:ascii="Arial" w:cs="Arial" w:eastAsia="Arial" w:hAnsi="Arial"/>
          <w:i/>
          <w:iCs/>
          <w:color w:val="94A3B8"/>
          <w:sz w:val="19"/>
          <w:szCs w:val="19"/>
        </w:rPr>
        <w:t xml:space="preserve">The ROI Analytics page remains the right home for cost comparison data. The dashboard button linking to that page is sufficient.</w:t>
      </w:r>
    </w:p>
    <w:p>
      <w:pPr>
        <w:spacing w:after="0" w:before="160"/>
      </w:pPr>
    </w:p>
    <w:p>
      <w:pPr>
        <w:spacing w:after="160" w:before="360"/>
      </w:pPr>
      <w:r>
        <w:rPr>
          <w:rFonts w:ascii="Arial" w:cs="Arial" w:eastAsia="Arial" w:hAnsi="Arial"/>
          <w:b/>
          <w:bCs/>
          <w:color w:val="4F46E5"/>
          <w:sz w:val="28"/>
          <w:szCs w:val="28"/>
        </w:rPr>
        <w:t xml:space="preserve">02  </w:t>
      </w:r>
      <w:r>
        <w:rPr>
          <w:rFonts w:ascii="Arial" w:cs="Arial" w:eastAsia="Arial" w:hAnsi="Arial"/>
          <w:b/>
          <w:bCs/>
          <w:color w:val="0F172A"/>
          <w:sz w:val="28"/>
          <w:szCs w:val="28"/>
        </w:rPr>
        <w:t xml:space="preserve">Student Roster Table</w:t>
      </w:r>
    </w:p>
    <w:p>
      <w:pPr>
        <w:spacing w:after="160" w:before="0"/>
      </w:pPr>
      <w:r>
        <w:rPr>
          <w:rFonts w:ascii="Arial" w:cs="Arial" w:eastAsia="Arial" w:hAnsi="Arial"/>
          <w:color w:val="334155"/>
          <w:sz w:val="21"/>
          <w:szCs w:val="21"/>
        </w:rPr>
        <w:t xml:space="preserve">The Student Roster is a full-width expandable table with columns for Listening, Reading, Writing, and Speaking — the four IELTS band score dimensions.</w:t>
      </w:r>
    </w:p>
    <w:p>
      <w:pPr>
        <w:spacing w:after="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E2E8F0" w:sz="1"/>
              <w:left w:val="single" w:color="E2E8F0" w:sz="1"/>
              <w:bottom w:val="single" w:color="E2E8F0" w:sz="1"/>
              <w:right w:val="single" w:color="E2E8F0" w:sz="1"/>
            </w:tcBorders>
            <w:shd w:fill="FFF1F2" w:val="clear"/>
            <w:tcMar>
              <w:top w:type="dxa" w:w="120"/>
              <w:left w:type="dxa" w:w="160"/>
              <w:bottom w:type="dxa" w:w="120"/>
              <w:right w:type="dxa" w:w="160"/>
            </w:tcMar>
          </w:tcPr>
          <w:p>
            <w:pPr>
              <w:spacing w:after="100" w:before="0"/>
            </w:pPr>
            <w:r>
              <w:rPr>
                <w:rFonts w:ascii="Arial" w:cs="Arial" w:eastAsia="Arial" w:hAnsi="Arial"/>
                <w:b/>
                <w:bCs/>
                <w:color w:val="E11D48"/>
                <w:sz w:val="19"/>
                <w:szCs w:val="19"/>
              </w:rPr>
              <w:t xml:space="preserve">Why it does not belong here</w:t>
            </w:r>
          </w:p>
          <w:p>
            <w:pPr>
              <w:spacing w:after="0" w:before="0"/>
            </w:pPr>
            <w:r>
              <w:rPr>
                <w:rFonts w:ascii="Arial" w:cs="Arial" w:eastAsia="Arial" w:hAnsi="Arial"/>
                <w:color w:val="334155"/>
                <w:sz w:val="20"/>
                <w:szCs w:val="20"/>
              </w:rPr>
              <w:t xml:space="preserve">The column schema is hardcoded to IELTS. The institute simultaneously runs IELTS batches, Spoken English, and Tech Prep. Students from 'Tech Prep Batch 5' or 'Spoken English A' will never have Listening/Reading/Writing/Speaking band scores. The table either shows blank cells for non-IELTS students or silently misleads with zeroes. Beyond the schema mismatch, a full student roster with expandable sub-score rows is too granular for a strategic overview dashboard.</w:t>
            </w:r>
          </w:p>
        </w:tc>
        <w:tc>
          <w:tcPr>
            <w:tcW w:type="dxa" w:w="4536"/>
            <w:tcBorders>
              <w:top w:val="single" w:color="E2E8F0" w:sz="1"/>
              <w:left w:val="single" w:color="E2E8F0" w:sz="1"/>
              <w:bottom w:val="single" w:color="E2E8F0" w:sz="1"/>
              <w:right w:val="single" w:color="E2E8F0" w:sz="1"/>
            </w:tcBorders>
            <w:shd w:fill="ECFDF5" w:val="clear"/>
            <w:tcMar>
              <w:top w:type="dxa" w:w="120"/>
              <w:left w:type="dxa" w:w="160"/>
              <w:bottom w:type="dxa" w:w="120"/>
              <w:right w:type="dxa" w:w="160"/>
            </w:tcMar>
          </w:tcPr>
          <w:p>
            <w:pPr>
              <w:spacing w:after="100" w:before="0"/>
            </w:pPr>
            <w:r>
              <w:rPr>
                <w:rFonts w:ascii="Arial" w:cs="Arial" w:eastAsia="Arial" w:hAnsi="Arial"/>
                <w:b/>
                <w:bCs/>
                <w:color w:val="059669"/>
                <w:sz w:val="19"/>
                <w:szCs w:val="19"/>
              </w:rPr>
              <w:t xml:space="preserve">Recommended replacement: At-Risk Students widget</w:t>
            </w:r>
          </w:p>
          <w:p>
            <w:pPr>
              <w:spacing w:after="0" w:before="0"/>
            </w:pPr>
            <w:r>
              <w:rPr>
                <w:rFonts w:ascii="Arial" w:cs="Arial" w:eastAsia="Arial" w:hAnsi="Arial"/>
                <w:color w:val="334155"/>
                <w:sz w:val="20"/>
                <w:szCs w:val="20"/>
              </w:rPr>
              <w:t xml:space="preserve">A compact, course-agnostic list showing only students flagged as at-risk — defined as: band/score declining across last 3 assessments, inactive for 3 or more days, or missed two or more consecutive tasks. Each row shows student name, batch, a red/amber status chip, and a direct link to their full profile. This is what the owner needs to act on. Detailed sub-scores belong in the Performance Analytics page where the context supports them.</w:t>
            </w:r>
          </w:p>
        </w:tc>
      </w:tr>
    </w:tbl>
    <w:p>
      <w:pPr>
        <w:spacing w:after="0" w:before="200"/>
      </w:pPr>
    </w:p>
    <w:p>
      <w:pPr>
        <w:spacing w:after="200" w:before="60"/>
      </w:pPr>
      <w:r>
        <w:rPr>
          <w:rFonts w:ascii="Arial" w:cs="Arial" w:eastAsia="Arial" w:hAnsi="Arial"/>
          <w:i/>
          <w:iCs/>
          <w:color w:val="94A3B8"/>
          <w:sz w:val="19"/>
          <w:szCs w:val="19"/>
        </w:rPr>
        <w:t xml:space="preserve">The existing Performance Analytics page (/institute-owner/performance) already has the student-level detail. The dashboard should link to it, not replicate it.</w:t>
      </w:r>
    </w:p>
    <w:p>
      <w:pPr>
        <w:spacing w:after="0" w:before="160"/>
      </w:pPr>
    </w:p>
    <w:p>
      <w:r>
        <w:br w:type="page"/>
      </w:r>
    </w:p>
    <w:p>
      <w:pPr>
        <w:spacing w:after="60" w:before="0"/>
      </w:pPr>
      <w:r>
        <w:rPr>
          <w:rFonts w:ascii="Arial" w:cs="Arial" w:eastAsia="Arial" w:hAnsi="Arial"/>
          <w:b/>
          <w:bCs/>
          <w:color w:val="4F46E5"/>
          <w:spacing w:val="80"/>
          <w:sz w:val="16"/>
          <w:szCs w:val="16"/>
        </w:rPr>
        <w:t xml:space="preserve">INSTITUTE ADMIN DASHBOARD</w:t>
      </w:r>
    </w:p>
    <w:p>
      <w:pPr>
        <w:spacing w:after="160" w:before="360"/>
      </w:pPr>
      <w:r>
        <w:rPr>
          <w:rFonts w:ascii="Arial" w:cs="Arial" w:eastAsia="Arial" w:hAnsi="Arial"/>
          <w:b/>
          <w:bCs/>
          <w:color w:val="4F46E5"/>
          <w:sz w:val="28"/>
          <w:szCs w:val="28"/>
        </w:rPr>
        <w:t xml:space="preserve">03  </w:t>
      </w:r>
      <w:r>
        <w:rPr>
          <w:rFonts w:ascii="Arial" w:cs="Arial" w:eastAsia="Arial" w:hAnsi="Arial"/>
          <w:b/>
          <w:bCs/>
          <w:color w:val="0F172A"/>
          <w:sz w:val="28"/>
          <w:szCs w:val="28"/>
        </w:rPr>
        <w:t xml:space="preserve">Tutor Accounts Panel</w:t>
      </w:r>
    </w:p>
    <w:p>
      <w:pPr>
        <w:spacing w:after="160" w:before="0"/>
      </w:pPr>
      <w:r>
        <w:rPr>
          <w:rFonts w:ascii="Arial" w:cs="Arial" w:eastAsia="Arial" w:hAnsi="Arial"/>
          <w:color w:val="334155"/>
          <w:sz w:val="21"/>
          <w:szCs w:val="21"/>
        </w:rPr>
        <w:t xml:space="preserve">Positioned in the right column of the Admin dashboard, this panel lists four tutors with their name, batch count, student count, last-active time, and an ACTIVE/INACTIVE badge.</w:t>
      </w:r>
    </w:p>
    <w:p>
      <w:pPr>
        <w:spacing w:after="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E2E8F0" w:sz="1"/>
              <w:left w:val="single" w:color="E2E8F0" w:sz="1"/>
              <w:bottom w:val="single" w:color="E2E8F0" w:sz="1"/>
              <w:right w:val="single" w:color="E2E8F0" w:sz="1"/>
            </w:tcBorders>
            <w:shd w:fill="FFF1F2" w:val="clear"/>
            <w:tcMar>
              <w:top w:type="dxa" w:w="120"/>
              <w:left w:type="dxa" w:w="160"/>
              <w:bottom w:type="dxa" w:w="120"/>
              <w:right w:type="dxa" w:w="160"/>
            </w:tcMar>
          </w:tcPr>
          <w:p>
            <w:pPr>
              <w:spacing w:after="100" w:before="0"/>
            </w:pPr>
            <w:r>
              <w:rPr>
                <w:rFonts w:ascii="Arial" w:cs="Arial" w:eastAsia="Arial" w:hAnsi="Arial"/>
                <w:b/>
                <w:bCs/>
                <w:color w:val="E11D48"/>
                <w:sz w:val="19"/>
                <w:szCs w:val="19"/>
              </w:rPr>
              <w:t xml:space="preserve">Why it does not belong here</w:t>
            </w:r>
          </w:p>
          <w:p>
            <w:pPr>
              <w:spacing w:after="0" w:before="0"/>
            </w:pPr>
            <w:r>
              <w:rPr>
                <w:rFonts w:ascii="Arial" w:cs="Arial" w:eastAsia="Arial" w:hAnsi="Arial"/>
                <w:color w:val="334155"/>
                <w:sz w:val="20"/>
                <w:szCs w:val="20"/>
              </w:rPr>
              <w:t xml:space="preserve">The panel is purely a read-only directory. It tells the admin that 'Priya Menon: INACTIVE' but provides no next step — no link to reassign her batch, no alert context, no action button. The admin already has a full Tutor Accounts page (/institute-admin/tutor) that does this better. Repeating a subset of that data in the dashboard right column consumes prime real estate without enabling any action.</w:t>
            </w:r>
          </w:p>
        </w:tc>
        <w:tc>
          <w:tcPr>
            <w:tcW w:type="dxa" w:w="4536"/>
            <w:tcBorders>
              <w:top w:val="single" w:color="E2E8F0" w:sz="1"/>
              <w:left w:val="single" w:color="E2E8F0" w:sz="1"/>
              <w:bottom w:val="single" w:color="E2E8F0" w:sz="1"/>
              <w:right w:val="single" w:color="E2E8F0" w:sz="1"/>
            </w:tcBorders>
            <w:shd w:fill="ECFDF5" w:val="clear"/>
            <w:tcMar>
              <w:top w:type="dxa" w:w="120"/>
              <w:left w:type="dxa" w:w="160"/>
              <w:bottom w:type="dxa" w:w="120"/>
              <w:right w:type="dxa" w:w="160"/>
            </w:tcMar>
          </w:tcPr>
          <w:p>
            <w:pPr>
              <w:spacing w:after="100" w:before="0"/>
            </w:pPr>
            <w:r>
              <w:rPr>
                <w:rFonts w:ascii="Arial" w:cs="Arial" w:eastAsia="Arial" w:hAnsi="Arial"/>
                <w:b/>
                <w:bCs/>
                <w:color w:val="059669"/>
                <w:sz w:val="19"/>
                <w:szCs w:val="19"/>
              </w:rPr>
              <w:t xml:space="preserve">Recommended replacement: Batch Capacity Alerts widget</w:t>
            </w:r>
          </w:p>
          <w:p>
            <w:pPr>
              <w:spacing w:after="0" w:before="0"/>
            </w:pPr>
            <w:r>
              <w:rPr>
                <w:rFonts w:ascii="Arial" w:cs="Arial" w:eastAsia="Arial" w:hAnsi="Arial"/>
                <w:color w:val="334155"/>
                <w:sz w:val="20"/>
                <w:szCs w:val="20"/>
              </w:rPr>
              <w:t xml:space="preserve">Show only batches that need immediate attention: enrollment above 85% of capacity, or a batch whose assigned tutor is inactive/unassigned. Each row shows batch name, current fill (e.g. 28/30), tutor status, and a direct link to that batch's allocation page. A 'View All Batches' link at the bottom preserves navigation to the full list. This aligns with the admin's core job: catching near-full batches and coverage gaps before they become problems.</w:t>
            </w:r>
          </w:p>
        </w:tc>
      </w:tr>
    </w:tbl>
    <w:p>
      <w:pPr>
        <w:spacing w:after="0" w:before="200"/>
      </w:pPr>
    </w:p>
    <w:p>
      <w:pPr>
        <w:spacing w:after="200" w:before="60"/>
      </w:pPr>
      <w:r>
        <w:rPr>
          <w:rFonts w:ascii="Arial" w:cs="Arial" w:eastAsia="Arial" w:hAnsi="Arial"/>
          <w:i/>
          <w:iCs/>
          <w:color w:val="94A3B8"/>
          <w:sz w:val="19"/>
          <w:szCs w:val="19"/>
        </w:rPr>
        <w:t xml:space="preserve">The existing Batch Allocation section in the left column already shows all batches. The right column should surface exceptions, not repeat the full list.</w:t>
      </w:r>
    </w:p>
    <w:p>
      <w:pPr>
        <w:spacing w:after="0" w:before="160"/>
      </w:pPr>
    </w:p>
    <w:p>
      <w:r>
        <w:br w:type="page"/>
      </w:r>
    </w:p>
    <w:p>
      <w:pPr>
        <w:spacing w:after="60" w:before="0"/>
      </w:pPr>
      <w:r>
        <w:rPr>
          <w:rFonts w:ascii="Arial" w:cs="Arial" w:eastAsia="Arial" w:hAnsi="Arial"/>
          <w:b/>
          <w:bCs/>
          <w:color w:val="D97706"/>
          <w:spacing w:val="80"/>
          <w:sz w:val="16"/>
          <w:szCs w:val="16"/>
        </w:rPr>
        <w:t xml:space="preserve">ADDITIONAL NOTES</w:t>
      </w:r>
    </w:p>
    <w:p>
      <w:pPr>
        <w:pStyle w:val="Heading1"/>
        <w:spacing w:after="200" w:before="0"/>
      </w:pPr>
      <w:r>
        <w:rPr>
          <w:rFonts w:ascii="Arial" w:cs="Arial" w:eastAsia="Arial" w:hAnsi="Arial"/>
        </w:rPr>
        <w:t xml:space="preserve">Minor Issues to Address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636"/>
        <w:gridCol w:w="3636"/>
      </w:tblGrid>
      <w:tr>
        <w:tc>
          <w:tcPr>
            <w:tcW w:type="dxa" w:w="180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Location</w:t>
            </w:r>
          </w:p>
        </w:tc>
        <w:tc>
          <w:tcPr>
            <w:tcW w:type="dxa" w:w="3636"/>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Issue</w:t>
            </w:r>
          </w:p>
        </w:tc>
        <w:tc>
          <w:tcPr>
            <w:tcW w:type="dxa" w:w="3636"/>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Fix</w:t>
            </w:r>
          </w:p>
        </w:tc>
      </w:tr>
      <w:tr>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Owner Dashboard</w:t>
            </w:r>
          </w:p>
        </w:tc>
        <w:tc>
          <w:tcPr>
            <w:tcW w:type="dxa" w:w="363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"AI Savings" and "Monthly Revenue" both show ₹263K — identical placeholder values.</w:t>
            </w:r>
          </w:p>
        </w:tc>
        <w:tc>
          <w:tcPr>
            <w:tcW w:type="dxa" w:w="3636"/>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Replace with real distinct values from the backend. These are separate KPIs and must not share a figure.</w:t>
            </w:r>
          </w:p>
        </w:tc>
      </w:tr>
      <w:tr>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Strategic Reports</w:t>
            </w:r>
          </w:p>
        </w:tc>
        <w:tc>
          <w:tcPr>
            <w:tcW w:type="dxa" w:w="363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Top metric shows "$ Cost Savings ₹2.6L/mo" — mixing a USD symbol with INR.</w:t>
            </w:r>
          </w:p>
        </w:tc>
        <w:tc>
          <w:tcPr>
            <w:tcW w:type="dxa" w:w="3636"/>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Remove the $ prefix. Use ₹ consistently across all financial metrics.</w:t>
            </w:r>
          </w:p>
        </w:tc>
      </w:tr>
      <w:tr>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Admin Sidebar</w:t>
            </w:r>
          </w:p>
        </w:tc>
        <w:tc>
          <w:tcPr>
            <w:tcW w:type="dxa" w:w="363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Billings &amp; Plans and Report are commented out in the sidebar despite the activity log already showing fee-default events.</w:t>
            </w:r>
          </w:p>
        </w:tc>
        <w:tc>
          <w:tcPr>
            <w:tcW w:type="dxa" w:w="3636"/>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Uncomment Billings &amp; Plans once the feature is live. Admins need it to act on fee-default alerts.</w:t>
            </w:r>
          </w:p>
        </w:tc>
      </w:tr>
    </w:tbl>
    <w:p>
      <w:pPr>
        <w:spacing w:after="0" w:before="200"/>
      </w:pP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7"/>
        <w:szCs w:val="17"/>
      </w:rPr>
      <w:t xml:space="preserve">TestCrack for Institutes  —  Dashboard UX Recommendations  —  Page </w:t>
    </w:r>
    <w:r>
      <w:rPr>
        <w:rFonts w:ascii="Arial" w:cs="Arial" w:eastAsia="Arial" w:hAnsi="Arial"/>
        <w:color w:val="94A3B8"/>
        <w:sz w:val="17"/>
        <w:szCs w:val="17"/>
      </w:rPr>
      <w:fldChar w:fldCharType="begin"/>
      <w:instrText xml:space="preserve">PAGE</w:instrText>
      <w:fldChar w:fldCharType="separate"/>
      <w:fldChar w:fldCharType="end"/>
    </w:r>
    <w:r>
      <w:rPr>
        <w:rFonts w:ascii="Arial" w:cs="Arial" w:eastAsia="Arial" w:hAnsi="Arial"/>
        <w:color w:val="94A3B8"/>
        <w:sz w:val="17"/>
        <w:szCs w:val="17"/>
      </w:rPr>
      <w:t xml:space="preserve"> of </w:t>
    </w:r>
    <w:r>
      <w:rPr>
        <w:rFonts w:ascii="Arial" w:cs="Arial" w:eastAsia="Arial" w:hAnsi="Arial"/>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2026-06-05T11:19:20.527Z</dcterms:created>
  <dcterms:modified xsi:type="dcterms:W3CDTF">2026-06-05T11:19:20.527Z</dcterms:modified>
</cp:coreProperties>
</file>

<file path=docProps/custom.xml><?xml version="1.0" encoding="utf-8"?>
<Properties xmlns="http://schemas.openxmlformats.org/officeDocument/2006/custom-properties" xmlns:vt="http://schemas.openxmlformats.org/officeDocument/2006/docPropsVTypes"/>
</file>