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1a365d"/>
          <w:sz w:val="56"/>
          <w:szCs w:val="56"/>
        </w:rPr>
        <w:t xml:space="preserve">QUANTITATIVE TRADING PIPELINE</w:t>
      </w:r>
    </w:p>
    <w:p>
      <w:pPr>
        <w:spacing w:after="400"/>
      </w:pPr>
    </w:p>
    <w:p>
      <w:pPr>
        <w:jc w:val="center"/>
      </w:pPr>
      <w:r>
        <w:rPr>
          <w:rFonts w:ascii="Arial" w:cs="Arial" w:eastAsia="Arial" w:hAnsi="Arial"/>
          <w:color w:val="4a5568"/>
          <w:sz w:val="32"/>
          <w:szCs w:val="32"/>
        </w:rPr>
        <w:t xml:space="preserve">Multi-Factor Algorithmic Trading System</w:t>
      </w:r>
    </w:p>
    <w:p>
      <w:pPr>
        <w:jc w:val="center"/>
      </w:pPr>
      <w:r>
        <w:rPr>
          <w:rFonts w:ascii="Arial" w:cs="Arial" w:eastAsia="Arial" w:hAnsi="Arial"/>
          <w:color w:val="4a5568"/>
          <w:sz w:val="32"/>
          <w:szCs w:val="32"/>
        </w:rPr>
        <w:t xml:space="preserve">with Dynamic Leverage &amp; Liquidity Constraints</w:t>
      </w:r>
    </w:p>
    <w:p>
      <w:pPr>
        <w:spacing w:after="800"/>
      </w:pPr>
    </w:p>
    <w:p>
      <w:pPr>
        <w:jc w:val="center"/>
      </w:pPr>
      <w:r>
        <w:rPr>
          <w:rFonts w:ascii="Arial" w:cs="Arial" w:eastAsia="Arial" w:hAnsi="Arial"/>
          <w:i/>
          <w:iCs/>
          <w:sz w:val="28"/>
          <w:szCs w:val="28"/>
        </w:rPr>
        <w:t xml:space="preserve">Technical Documentation &amp; Strategy Overview</w:t>
      </w:r>
    </w:p>
    <w:p>
      <w:pPr>
        <w:spacing w:after="1600"/>
      </w:pPr>
    </w:p>
    <w:p>
      <w:pPr>
        <w:jc w:val="center"/>
      </w:pPr>
      <w:r>
        <w:rPr>
          <w:rFonts w:ascii="Arial" w:cs="Arial" w:eastAsia="Arial" w:hAnsi="Arial"/>
          <w:sz w:val="24"/>
          <w:szCs w:val="24"/>
        </w:rPr>
        <w:t xml:space="preserve">Author: Gonzi</w:t>
      </w:r>
    </w:p>
    <w:p>
      <w:pPr>
        <w:jc w:val="center"/>
      </w:pPr>
      <w:r>
        <w:rPr>
          <w:rFonts w:ascii="Arial" w:cs="Arial" w:eastAsia="Arial" w:hAnsi="Arial"/>
          <w:sz w:val="24"/>
          <w:szCs w:val="24"/>
        </w:rPr>
        <w:t xml:space="preserve">ESSCA School of Management</w:t>
      </w:r>
    </w:p>
    <w:p>
      <w:pPr>
        <w:jc w:val="center"/>
      </w:pPr>
      <w:r>
        <w:rPr>
          <w:rFonts w:ascii="Arial" w:cs="Arial" w:eastAsia="Arial" w:hAnsi="Arial"/>
          <w:sz w:val="24"/>
          <w:szCs w:val="24"/>
        </w:rPr>
        <w:t xml:space="preserve">MSc Finance &amp; Data Analytics</w:t>
      </w:r>
    </w:p>
    <w:p>
      <w:pPr>
        <w:spacing w:after="800"/>
      </w:pPr>
    </w:p>
    <w:p>
      <w:pPr>
        <w:jc w:val="center"/>
      </w:pPr>
      <w:r>
        <w:rPr>
          <w:rFonts w:ascii="Arial" w:cs="Arial" w:eastAsia="Arial" w:hAnsi="Arial"/>
          <w:color w:val="666666"/>
          <w:sz w:val="24"/>
          <w:szCs w:val="24"/>
        </w:rPr>
        <w:t xml:space="preserve">January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hd w:fill="f0f4f8" w:val="clear"/>
        <w:spacing w:after="200"/>
      </w:pPr>
      <w:r>
        <w:rPr>
          <w:i/>
          <w:iCs/>
          <w:color w:val="2c5282"/>
          <w:sz w:val="22"/>
          <w:szCs w:val="22"/>
        </w:rPr>
        <w:t xml:space="preserve">Project Focus: This project was built to understand how quantitative signals behave once realistic execution, liquidity and risk constraints are applied, with a strong focus on risk management rather than pure alpha maximization.</w:t>
      </w:r>
    </w:p>
    <w:p>
      <w:pPr>
        <w:spacing w:after="200"/>
      </w:pPr>
      <w:r>
        <w:rPr>
          <w:sz w:val="24"/>
          <w:szCs w:val="24"/>
        </w:rPr>
        <w:t xml:space="preserve">This document presents a comprehensive quantitative trading system designed for systematic equity portfolio management. The system combines multiple alpha factors with dynamic risk management and liquidity-aware position sizing to generate risk-adjusted returns across varying market conditions.</w:t>
      </w:r>
    </w:p>
    <w:p>
      <w:pPr>
        <w:spacing w:after="200"/>
      </w:pPr>
      <w:r>
        <w:rPr>
          <w:sz w:val="24"/>
          <w:szCs w:val="24"/>
        </w:rPr>
        <w:t xml:space="preserve">The pipeline implements a hybrid signal approach, combining 70% daily strategic signals with 30% hourly tactical timing signals. Five distinct alpha factors (Volatility, Momentum, Tail Risk, Beta, and Carry) are weighted dynamically using correlation-aware optimization, with real SPY benchmark data for accurate signal calculation.</w:t>
      </w:r>
    </w:p>
    <w:p>
      <w:pPr>
        <w:pStyle w:val="Heading2"/>
      </w:pPr>
      <w:r>
        <w:t xml:space="preserve">Key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2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 Signal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 daily signals + 30% hourly timing optimization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Alpha Factors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signals: Volatility, Momentum, Tail Risk, Beta, Carry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 Benchmark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Uses actual SPY returns (not approximations)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Liquidity Constraints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10% of 20-day ADV per 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Dynamic Leverage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1.0x to 3.0x based on signal confidence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Dual-Broker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Alpaca for data, Interactive Brokers for execution</w:t>
            </w:r>
          </w:p>
        </w:tc>
      </w:tr>
    </w:tbl>
    <w:p>
      <w:pPr>
        <w:spacing w:after="400"/>
      </w:pPr>
    </w:p>
    <w:p>
      <w:r>
        <w:br w:type="page"/>
      </w:r>
    </w:p>
    <w:p>
      <w:pPr>
        <w:pStyle w:val="Heading1"/>
      </w:pPr>
      <w:r>
        <w:t xml:space="preserve">2. System Architecture</w:t>
      </w:r>
    </w:p>
    <w:p>
      <w:pPr>
        <w:spacing w:after="200"/>
      </w:pPr>
      <w:r>
        <w:rPr>
          <w:sz w:val="24"/>
          <w:szCs w:val="24"/>
        </w:rPr>
        <w:t xml:space="preserve">The trading pipeline is built on a modular architecture separating concerns between data acquisition, signal processing, risk management, and order execution.</w:t>
      </w:r>
    </w:p>
    <w:p>
      <w:pPr>
        <w:pStyle w:val="Heading2"/>
      </w:pPr>
      <w:r>
        <w:t xml:space="preserve">Component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Trading Engine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paper_trading.py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loop, rebalancing, liquidity checks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 Pipeline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enhanced_pipeline.py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Factor computation, backtesting, optimization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 Fusion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hybrid_pipeline_weighted.py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Multi-timeframe + benchmark alignment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Broker Adapter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dual_broker_adapter.py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Unified interface for data and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IBKR Integration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ibkr_adapter.py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Interactive Brokers API wrapper</w:t>
            </w:r>
          </w:p>
        </w:tc>
      </w:tr>
    </w:tbl>
    <w:p>
      <w:pPr>
        <w:spacing w:after="400"/>
      </w:pPr>
    </w:p>
    <w:p>
      <w:pPr>
        <w:pStyle w:val="Heading2"/>
      </w:pPr>
      <w:r>
        <w:t xml:space="preserve">Data Flow</w:t>
      </w:r>
    </w:p>
    <w:p>
      <w:pPr>
        <w:spacing w:after="200"/>
      </w:pPr>
      <w:r>
        <w:rPr>
          <w:sz w:val="24"/>
          <w:szCs w:val="24"/>
        </w:rPr>
        <w:t xml:space="preserve">1. Market Data: Alpaca API provides 10 years of daily bars, 2 years of hourly bars, plus real SPY returns for benchmark calculations.</w:t>
      </w:r>
    </w:p>
    <w:p>
      <w:pPr>
        <w:spacing w:after="200"/>
      </w:pPr>
      <w:r>
        <w:rPr>
          <w:sz w:val="24"/>
          <w:szCs w:val="24"/>
        </w:rPr>
        <w:t xml:space="preserve">2. Signal Generation: The enhanced pipeline computes 5 alpha factors using real benchmark data and optimizes weights via correlation-aware objective.</w:t>
      </w:r>
    </w:p>
    <w:p>
      <w:pPr>
        <w:spacing w:after="200"/>
      </w:pPr>
      <w:r>
        <w:rPr>
          <w:sz w:val="24"/>
          <w:szCs w:val="24"/>
        </w:rPr>
        <w:t xml:space="preserve">3. Position Sizing: Target positions are calculated with both portfolio constraints AND liquidity constraints (10% of 20-day ADV).</w:t>
      </w:r>
    </w:p>
    <w:p>
      <w:pPr>
        <w:spacing w:after="200"/>
      </w:pPr>
      <w:r>
        <w:rPr>
          <w:sz w:val="24"/>
          <w:szCs w:val="24"/>
        </w:rPr>
        <w:t xml:space="preserve">4. Order Execution: IBKR handles actual trade execution, bypassing PDT restrictions available on Alpaca.</w:t>
      </w:r>
    </w:p>
    <w:p>
      <w:r>
        <w:br w:type="page"/>
      </w:r>
    </w:p>
    <w:p>
      <w:pPr>
        <w:pStyle w:val="Heading1"/>
      </w:pPr>
      <w:r>
        <w:t xml:space="preserve">3. Signal Processing</w:t>
      </w:r>
    </w:p>
    <w:p>
      <w:pPr>
        <w:pStyle w:val="Heading2"/>
      </w:pPr>
      <w:r>
        <w:t xml:space="preserve">Real Benchmark Integration</w:t>
      </w:r>
    </w:p>
    <w:p>
      <w:pPr>
        <w:spacing w:after="200"/>
      </w:pPr>
      <w:r>
        <w:rPr>
          <w:sz w:val="24"/>
          <w:szCs w:val="24"/>
        </w:rPr>
        <w:t xml:space="preserve">A key improvement in this system is the use of actual SPY returns instead of approximations. The system fetches real SPY data and aligns it with individual stock returns for accurate momentum and beta calculations.</w:t>
      </w:r>
    </w:p>
    <w:p>
      <w:pPr>
        <w:pStyle w:val="Heading2"/>
      </w:pPr>
      <w:r>
        <w:t xml:space="preserve">Alpha Factors</w:t>
      </w:r>
    </w:p>
    <w:p>
      <w:pPr>
        <w:pStyle w:val="Heading3"/>
      </w:pPr>
      <w:r>
        <w:t xml:space="preserve">Volatility Signal</w:t>
      </w:r>
    </w:p>
    <w:p>
      <w:pPr>
        <w:spacing w:after="200"/>
      </w:pPr>
      <w:r>
        <w:rPr>
          <w:sz w:val="24"/>
          <w:szCs w:val="24"/>
        </w:rPr>
        <w:t xml:space="preserve">Mean-reversion strategy on realized volatility z-scores. When volatility spikes above historical norms, the signal goes short, expecting mean reversion. The signal is amplified by volatility-of-volatility to increase conviction during regime changes.</w:t>
      </w:r>
    </w:p>
    <w:p>
      <w:pPr>
        <w:pStyle w:val="Heading3"/>
      </w:pPr>
      <w:r>
        <w:t xml:space="preserve">Momentum Signal (with Real Benchmark)</w:t>
      </w:r>
    </w:p>
    <w:p>
      <w:pPr>
        <w:spacing w:after="200"/>
      </w:pPr>
      <w:r>
        <w:rPr>
          <w:sz w:val="24"/>
          <w:szCs w:val="24"/>
        </w:rPr>
        <w:t xml:space="preserve">Combines absolute momentum (20-day vs 60-day returns) with relative strength versus the real SPY benchmark. The 70/30 weighting favors excess returns over simple price momentum. Using actual market returns ensures accurate relative performance measurement.</w:t>
      </w:r>
    </w:p>
    <w:p>
      <w:pPr>
        <w:pStyle w:val="Heading3"/>
      </w:pPr>
      <w:r>
        <w:t xml:space="preserve">Tail Risk Signal</w:t>
      </w:r>
    </w:p>
    <w:p>
      <w:pPr>
        <w:spacing w:after="200"/>
      </w:pPr>
      <w:r>
        <w:rPr>
          <w:sz w:val="24"/>
          <w:szCs w:val="24"/>
        </w:rPr>
        <w:t xml:space="preserve">Based on Expected Shortfall (CVaR at 5th percentile) adjusted by tail asymmetry. Positions against extreme downside risk while accounting for the shape of the return distribution.</w:t>
      </w:r>
    </w:p>
    <w:p>
      <w:pPr>
        <w:pStyle w:val="Heading3"/>
      </w:pPr>
      <w:r>
        <w:t xml:space="preserve">Beta Signal (with Real Benchmark)</w:t>
      </w:r>
    </w:p>
    <w:p>
      <w:pPr>
        <w:spacing w:after="200"/>
      </w:pPr>
      <w:r>
        <w:rPr>
          <w:sz w:val="24"/>
          <w:szCs w:val="24"/>
        </w:rPr>
        <w:t xml:space="preserve">Rolling 60-day beta calculated against real SPY returns, multiplied by beta volatility. Goes short when market sensitivity is high and unstable, reducing systematic risk exposure during uncertain periods.</w:t>
      </w:r>
    </w:p>
    <w:p>
      <w:pPr>
        <w:pStyle w:val="Heading3"/>
      </w:pPr>
      <w:r>
        <w:t xml:space="preserve">Carry Signal</w:t>
      </w:r>
    </w:p>
    <w:p>
      <w:pPr>
        <w:spacing w:after="200"/>
      </w:pPr>
      <w:r>
        <w:rPr>
          <w:sz w:val="24"/>
          <w:szCs w:val="24"/>
        </w:rPr>
        <w:t xml:space="preserve">Composite of Volatility Risk Premium proxy (50%), mean reversion to 252-day moving average (30%), and annual seasonality (20%). Captures multiple sources of expected return.</w:t>
      </w:r>
    </w:p>
    <w:p>
      <w:pPr>
        <w:pStyle w:val="Heading2"/>
      </w:pPr>
      <w:r>
        <w:t xml:space="preserve">Risk Budget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20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4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Momentum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Strongest historical predictive power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Stable premium, low correlation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Volatility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reversion reliability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Tail Risk</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Crash protection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 timing component</w:t>
            </w:r>
          </w:p>
        </w:tc>
      </w:tr>
    </w:tbl>
    <w:p>
      <w:pPr>
        <w:spacing w:after="400"/>
      </w:pPr>
    </w:p>
    <w:p>
      <w:r>
        <w:br w:type="page"/>
      </w:r>
    </w:p>
    <w:p>
      <w:pPr>
        <w:pStyle w:val="Heading1"/>
      </w:pPr>
      <w:r>
        <w:t xml:space="preserve">4. Risk Management</w:t>
      </w:r>
    </w:p>
    <w:p>
      <w:pPr>
        <w:pStyle w:val="Heading2"/>
      </w:pPr>
      <w:r>
        <w:t xml:space="preserve">Liquidity-Aware Position Sizing</w:t>
      </w:r>
    </w:p>
    <w:p>
      <w:pPr>
        <w:spacing w:after="200"/>
      </w:pPr>
      <w:r>
        <w:rPr>
          <w:sz w:val="24"/>
          <w:szCs w:val="24"/>
        </w:rPr>
        <w:t xml:space="preserve">A critical enhancement is the implementation of liquidity constraints. Each position is capped at 10% of the 20-day Average Daily Volume (ADV), preventing market impact and ensuring executable trades.</w:t>
      </w:r>
    </w:p>
    <w:p>
      <w:pPr>
        <w:pStyle w:val="Heading2"/>
      </w:pPr>
      <w:r>
        <w:t xml:space="preserve">Position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Position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of portfolio per asset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Gross Leverage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3.0x equity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Net Leverage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1.5x equity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Liquidity Cap (NEW)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of 20-day ADV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Position Buffer Zone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change threshold</w:t>
            </w:r>
          </w:p>
        </w:tc>
      </w:tr>
    </w:tbl>
    <w:p>
      <w:pPr>
        <w:spacing w:after="400"/>
      </w:pPr>
    </w:p>
    <w:p>
      <w:pPr>
        <w:pStyle w:val="Heading2"/>
      </w:pPr>
      <w:r>
        <w:t xml:space="preserve">Drawdown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Threshold</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Loss Warning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Alert, reduce new positions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Loss Limit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Halt new positions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Drawdown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Flatten 50% of portfolio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liquidation</w:t>
            </w:r>
          </w:p>
        </w:tc>
      </w:tr>
    </w:tbl>
    <w:p>
      <w:pPr>
        <w:spacing w:after="400"/>
      </w:pPr>
    </w:p>
    <w:p>
      <w:pPr>
        <w:pStyle w:val="Heading2"/>
      </w:pPr>
      <w:r>
        <w:t xml:space="preserve">Tail Hedging Mechanism</w:t>
      </w:r>
    </w:p>
    <w:p>
      <w:pPr>
        <w:spacing w:after="200"/>
      </w:pPr>
      <w:r>
        <w:rPr>
          <w:sz w:val="24"/>
          <w:szCs w:val="24"/>
        </w:rPr>
        <w:t xml:space="preserve">The system implements a stateful tail hedge that activates during market stress. When portfolio drawdown exceeds -5%, the hedge provides convex protection with a payoff proportional to (downside)^1.5. This provides increasing protection during severe market declines while limiting cost during normal conditions.</w:t>
      </w:r>
    </w:p>
    <w:p>
      <w:r>
        <w:br w:type="page"/>
      </w:r>
    </w:p>
    <w:p>
      <w:pPr>
        <w:pStyle w:val="Heading1"/>
      </w:pPr>
      <w:r>
        <w:t xml:space="preserve">5. Stress Testing</w:t>
      </w:r>
    </w:p>
    <w:p>
      <w:pPr>
        <w:spacing w:after="200"/>
      </w:pPr>
      <w:r>
        <w:rPr>
          <w:sz w:val="24"/>
          <w:szCs w:val="24"/>
        </w:rPr>
        <w:t xml:space="preserve">The pipeline includes comprehensive stress testing against 6 historical crisis scenarios. Each scenario injects realistic crash dynamics including magnitude, duration, and volatility multipliers.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1560"/>
        <w:gridCol w:w="1560"/>
        <w:gridCol w:w="1872"/>
      </w:tblGrid>
      <w:tr>
        <w:tc>
          <w:tcPr>
            <w:tcW w:type="dxa" w:w="2808"/>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Crash</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1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Vol x</w:t>
            </w:r>
          </w:p>
        </w:tc>
        <w:tc>
          <w:tcPr>
            <w:tcW w:type="dxa" w:w="1872"/>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 Monday 1987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Flash crash</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LTCM Crisis 1998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Liquidity crisis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Dot-com 2000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Bubble burst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Crisis 2008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Systemic crisis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Flash Crash 2010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Algo crash</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COVID Crash 2020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Pandemic shock</w:t>
            </w:r>
          </w:p>
        </w:tc>
      </w:tr>
    </w:tbl>
    <w:p>
      <w:pPr>
        <w:spacing w:after="400"/>
      </w:pPr>
    </w:p>
    <w:p>
      <w:pPr>
        <w:pStyle w:val="Heading1"/>
      </w:pPr>
      <w:r>
        <w:t xml:space="preserve">6. Technical Specifications</w:t>
      </w:r>
    </w:p>
    <w:p>
      <w:pPr>
        <w:pStyle w:val="Heading2"/>
      </w:pPr>
      <w:r>
        <w:t xml:space="preserve">Code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Lines</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Functions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paper_trading.py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enhanced_pipeline.py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hybrid_pipeline_weighted.py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dual_broker_adapter.py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ibkr_adapter.py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w:t>
            </w:r>
          </w:p>
        </w:tc>
      </w:tr>
    </w:tbl>
    <w:p>
      <w:pPr>
        <w:spacing w:after="400"/>
      </w:pPr>
    </w:p>
    <w:p>
      <w:r>
        <w:br w:type="page"/>
      </w:r>
    </w:p>
    <w:p>
      <w:pPr>
        <w:pStyle w:val="Heading1"/>
      </w:pPr>
      <w:r>
        <w:t xml:space="preserve">7. Conclusion</w:t>
      </w:r>
    </w:p>
    <w:p>
      <w:pPr>
        <w:spacing w:after="200"/>
      </w:pPr>
      <w:r>
        <w:rPr>
          <w:sz w:val="24"/>
          <w:szCs w:val="24"/>
        </w:rPr>
        <w:t xml:space="preserve">This quantitative trading pipeline represents a systematic approach to equity portfolio management, combining academic finance theory with practical implementation considerations.</w:t>
      </w:r>
    </w:p>
    <w:p>
      <w:pPr>
        <w:spacing w:after="200"/>
      </w:pPr>
      <w:r>
        <w:rPr>
          <w:sz w:val="24"/>
          <w:szCs w:val="24"/>
        </w:rPr>
        <w:t xml:space="preserve">Key achievements of this project include:</w:t>
      </w:r>
    </w:p>
    <w:p>
      <w:pPr>
        <w:spacing w:after="100"/>
      </w:pPr>
      <w:r>
        <w:rPr>
          <w:sz w:val="24"/>
          <w:szCs w:val="24"/>
        </w:rPr>
        <w:t xml:space="preserve">1. Implementation of 5 distinct alpha factors with real SPY benchmark integration</w:t>
      </w:r>
    </w:p>
    <w:p>
      <w:pPr>
        <w:spacing w:after="100"/>
      </w:pPr>
      <w:r>
        <w:rPr>
          <w:sz w:val="24"/>
          <w:szCs w:val="24"/>
        </w:rPr>
        <w:t xml:space="preserve">2. Liquidity-aware position sizing (10% ADV constraint)</w:t>
      </w:r>
    </w:p>
    <w:p>
      <w:pPr>
        <w:spacing w:after="100"/>
      </w:pPr>
      <w:r>
        <w:rPr>
          <w:sz w:val="24"/>
          <w:szCs w:val="24"/>
        </w:rPr>
        <w:t xml:space="preserve">3. Multi-timeframe signal fusion combining daily and hourly data</w:t>
      </w:r>
    </w:p>
    <w:p>
      <w:pPr>
        <w:spacing w:after="100"/>
      </w:pPr>
      <w:r>
        <w:rPr>
          <w:sz w:val="24"/>
          <w:szCs w:val="24"/>
        </w:rPr>
        <w:t xml:space="preserve">4. Comprehensive risk management with drawdown controls and tail hedging</w:t>
      </w:r>
    </w:p>
    <w:p>
      <w:pPr>
        <w:spacing w:after="100"/>
      </w:pPr>
      <w:r>
        <w:rPr>
          <w:sz w:val="24"/>
          <w:szCs w:val="24"/>
        </w:rPr>
        <w:t xml:space="preserve">5. Dual-broker architecture separating data quality from execution efficiency</w:t>
      </w:r>
    </w:p>
    <w:p>
      <w:pPr>
        <w:spacing w:after="100"/>
      </w:pPr>
      <w:r>
        <w:rPr>
          <w:sz w:val="24"/>
          <w:szCs w:val="24"/>
        </w:rPr>
        <w:t xml:space="preserve">6. Integrated stress testing against 6 historical crisis scenarios</w:t>
      </w:r>
    </w:p>
    <w:p>
      <w:pPr>
        <w:spacing w:after="400"/>
      </w:pPr>
      <w:r>
        <w:rPr>
          <w:sz w:val="24"/>
          <w:szCs w:val="24"/>
        </w:rPr>
        <w:t xml:space="preserve">The system demonstrates proficiency in quantitative finance concepts including factor investing, portfolio optimization, liquidity management, risk management, and systematic trading execution.</w:t>
      </w:r>
    </w:p>
    <w:p>
      <w:pPr>
        <w:spacing w:after="400"/>
      </w:pPr>
    </w:p>
    <w:p>
      <w:pPr>
        <w:spacing w:before="400"/>
        <w:jc w:val="center"/>
      </w:pPr>
      <w:r>
        <w:rPr>
          <w:i/>
          <w:iCs/>
          <w:color w:val="666666"/>
          <w:sz w:val="20"/>
          <w:szCs w:val="20"/>
        </w:rPr>
        <w:t xml:space="preserve">Disclaimer: This is an educational project. Past performance does not guarantee future results. Trading involves risk of loss.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color w:val="666666"/>
        <w:sz w:val="20"/>
        <w:szCs w:val="20"/>
      </w:rPr>
      <w:t xml:space="preserve"> | ESSCA School of Management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Quantitative Trading Pipeline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2026-01-15T08:28:00.380Z</dcterms:created>
  <dcterms:modified xsi:type="dcterms:W3CDTF">2026-01-15T08:28:00.382Z</dcterms:modified>
</cp:coreProperties>
</file>

<file path=docProps/custom.xml><?xml version="1.0" encoding="utf-8"?>
<Properties xmlns="http://schemas.openxmlformats.org/officeDocument/2006/custom-properties" xmlns:vt="http://schemas.openxmlformats.org/officeDocument/2006/docPropsVTypes"/>
</file>