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eLiquor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HU-08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00" w:line="276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“Botón de ayuda”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Botón de ayuda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08: </w:t>
      </w:r>
      <w:r w:rsidDel="00000000" w:rsidR="00000000" w:rsidRPr="00000000">
        <w:rPr>
          <w:rtl w:val="0"/>
        </w:rPr>
        <w:t xml:space="preserve">Botón ayuda de visualización del programa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Style w:val="Heading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Botón de ayuda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Desplegar el apartado de ayuda en caso el usuario lo requiera.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para poder acceder al botón de ayuda deberá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9"/>
        </w:numPr>
        <w:spacing w:after="0" w:before="0" w:line="360" w:lineRule="auto"/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Junto con las funcionalidades principales el botón de ayuda se visualizará con un símbolo de interrogación.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1. Se le solicitará las credenciales de acceso al usuario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correctamente,pasará al menú principal.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3. Presionar el botón con el símbolo de interrogación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4. Despliegue de la guia de manejos de las funcionalidades del programa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U5UO/RvJwv2UI0Seiww214L7A==">AMUW2mWjBQpskJoOpY7bP11JsegahkD/qRZMFGjYVY/x1F3Ys+PwC/cdTHO3Wx8G74D7lU0PKhE935qDYm1KEi0e6TsuLxMqCZ+aURxDolYbdDnM0m0ZRKuBzhbmW36NJl2CI9x40ELY6z2aF5eRcrbFXwAP/WiEzORJ6RIavNKM8cvKpp0onllwKUzAZ7rZUNyvD6Bk4oaLk74M+d5JR68XXDyonYLO5FhA78OmgUuTNSur510Yv9aPm7gbpyg1M1lUQa4ffwrH8lOq1KInBei21jsWi9a3ETN6P2mWaTa4pqF9E0CqPIzOJaxKa3nGW4M4Gh0Duu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