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HU-05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caso de uso “consultar reportes” y se eliminaron los casos de uso “Imprimir reportes” y “Exportar  reportes”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historia de usuario HU - 05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5/12/2022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l7hs3j2e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_a5l7hs3j2e2j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xy7mrq1c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Consultar reportes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_pgxy7mrq1c2z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eptptdhp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_3beptptdhpfs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v6yn7571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_dgv6yn75714z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6dlic71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_d66dlic714d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30tz11sk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_xh30tz11sk54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yuakec4p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_fmyuakec4pp0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ay935vzi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_nlay935vzisl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documento se tiene como objetivo describir y especificar aquellos casos de uso que se pudieron obtener de la Historia de Usuario 05: Generación de reportes</w:t>
      </w:r>
      <w:r w:rsidDel="00000000" w:rsidR="00000000" w:rsidRPr="00000000">
        <w:rPr>
          <w:sz w:val="24"/>
          <w:szCs w:val="24"/>
          <w:rtl w:val="0"/>
        </w:rPr>
        <w:t xml:space="preserve">. Esto a razón de poder identificar mejor los requerimientos de nuestro sistema de Punto de Venta para Licorerías.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200" w:lineRule="auto"/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28"/>
          <w:szCs w:val="28"/>
        </w:rPr>
      </w:pPr>
      <w:bookmarkStart w:colFirst="0" w:colLast="0" w:name="_alqb6ow7f4k7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2543175</wp:posOffset>
            </wp:positionH>
            <wp:positionV relativeFrom="paragraph">
              <wp:posOffset>343071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pStyle w:val="Heading1"/>
        <w:rPr>
          <w:sz w:val="28"/>
          <w:szCs w:val="28"/>
        </w:rPr>
      </w:pPr>
      <w:bookmarkStart w:colFirst="0" w:colLast="0" w:name="_gsp45p626y0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sz w:val="28"/>
          <w:szCs w:val="28"/>
        </w:rPr>
      </w:pPr>
      <w:bookmarkStart w:colFirst="0" w:colLast="0" w:name="_sk0747dw9p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sz w:val="32"/>
          <w:szCs w:val="32"/>
        </w:rPr>
      </w:pPr>
      <w:bookmarkStart w:colFirst="0" w:colLast="0" w:name="_dzbaucw9k77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32"/>
          <w:szCs w:val="32"/>
        </w:rPr>
      </w:pPr>
      <w:bookmarkStart w:colFirst="0" w:colLast="0" w:name="_8efqa3ut7az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sz w:val="32"/>
          <w:szCs w:val="32"/>
        </w:rPr>
      </w:pPr>
      <w:bookmarkStart w:colFirst="0" w:colLast="0" w:name="_urhvrxlr5t5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sz w:val="32"/>
          <w:szCs w:val="32"/>
        </w:rPr>
      </w:pPr>
      <w:bookmarkStart w:colFirst="0" w:colLast="0" w:name="_5mxea2fra5f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sz w:val="32"/>
          <w:szCs w:val="32"/>
        </w:rPr>
      </w:pPr>
      <w:bookmarkStart w:colFirst="0" w:colLast="0" w:name="_a5l7hs3j2e2j" w:id="9"/>
      <w:bookmarkEnd w:id="9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A">
      <w:pPr>
        <w:pStyle w:val="Heading2"/>
        <w:spacing w:line="360" w:lineRule="auto"/>
        <w:rPr>
          <w:sz w:val="28"/>
          <w:szCs w:val="28"/>
        </w:rPr>
      </w:pPr>
      <w:bookmarkStart w:colFirst="0" w:colLast="0" w:name="_pgxy7mrq1c2z" w:id="10"/>
      <w:bookmarkEnd w:id="10"/>
      <w:r w:rsidDel="00000000" w:rsidR="00000000" w:rsidRPr="00000000">
        <w:rPr>
          <w:sz w:val="28"/>
          <w:szCs w:val="28"/>
          <w:rtl w:val="0"/>
        </w:rPr>
        <w:t xml:space="preserve">ESPECIFICACIÓN DE CASO DE USO: Consultar reportes</w:t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5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3beptptdhpfs" w:id="11"/>
      <w:bookmarkEnd w:id="11"/>
      <w:r w:rsidDel="00000000" w:rsidR="00000000" w:rsidRPr="00000000">
        <w:rPr>
          <w:sz w:val="24"/>
          <w:szCs w:val="24"/>
          <w:rtl w:val="0"/>
        </w:rPr>
        <w:t xml:space="preserve">Objetivo 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al usuario poder visualizar el reporte general de ventas especificando un intervalo de tiempo que él pueda seleccionar.</w:t>
      </w:r>
    </w:p>
    <w:p w:rsidR="00000000" w:rsidDel="00000000" w:rsidP="00000000" w:rsidRDefault="00000000" w:rsidRPr="00000000" w14:paraId="0000006D">
      <w:pPr>
        <w:pStyle w:val="Heading3"/>
        <w:numPr>
          <w:ilvl w:val="0"/>
          <w:numId w:val="5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dgv6yn75714z" w:id="12"/>
      <w:bookmarkEnd w:id="12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que desee acceder al sistema debe poseer un nombre y contraseña ya registrados.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tener los permisos para poder generar reportes.</w:t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d66dlic714d" w:id="13"/>
      <w:bookmarkEnd w:id="13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elegir entre un rango de fechas para generar el reporte.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Además de las ventas generadas entre las fechas indicadas por el usuario, </w:t>
      </w:r>
      <w:r w:rsidDel="00000000" w:rsidR="00000000" w:rsidRPr="00000000">
        <w:rPr>
          <w:sz w:val="24"/>
          <w:szCs w:val="24"/>
          <w:rtl w:val="0"/>
        </w:rPr>
        <w:t xml:space="preserve">este</w:t>
      </w:r>
      <w:r w:rsidDel="00000000" w:rsidR="00000000" w:rsidRPr="00000000">
        <w:rPr>
          <w:sz w:val="24"/>
          <w:szCs w:val="24"/>
          <w:rtl w:val="0"/>
        </w:rPr>
        <w:t xml:space="preserve"> también podrá ver un resumen de datos de venta en la parte izquierda de la pantalla.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cargará la fecha de inicio y fin por defecto, siendo la fecha de fin el día en que el usuario esté usando el sistema y la fecha de inicio un mes antes de la fecha anterior mencionada.</w:t>
      </w:r>
    </w:p>
    <w:p w:rsidR="00000000" w:rsidDel="00000000" w:rsidP="00000000" w:rsidRDefault="00000000" w:rsidRPr="00000000" w14:paraId="00000074">
      <w:pPr>
        <w:pStyle w:val="Heading3"/>
        <w:numPr>
          <w:ilvl w:val="0"/>
          <w:numId w:val="5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xh30tz11sk54" w:id="14"/>
      <w:bookmarkEnd w:id="14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usuario entra al módulo de reportes en el menú principal.</w:t>
      </w:r>
    </w:p>
    <w:p w:rsidR="00000000" w:rsidDel="00000000" w:rsidP="00000000" w:rsidRDefault="00000000" w:rsidRPr="00000000" w14:paraId="000000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sistema muestra la interfaz de reportes enseñando datos generales sobre las ventas (resumen), una tabla donde se mostrarán las ventas y dos selectores de fecha.</w:t>
      </w:r>
    </w:p>
    <w:p w:rsidR="00000000" w:rsidDel="00000000" w:rsidP="00000000" w:rsidRDefault="00000000" w:rsidRPr="00000000" w14:paraId="000000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usuario selecciona el intervalo de tiempo para generar el reporte.</w:t>
      </w:r>
    </w:p>
    <w:p w:rsidR="00000000" w:rsidDel="00000000" w:rsidP="00000000" w:rsidRDefault="00000000" w:rsidRPr="00000000" w14:paraId="000000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presiona el botón “Generar”, se mostrará en la tabla datos sobre las ventas en el intervalo de tiempo especificado.</w:t>
      </w:r>
    </w:p>
    <w:p w:rsidR="00000000" w:rsidDel="00000000" w:rsidP="00000000" w:rsidRDefault="00000000" w:rsidRPr="00000000" w14:paraId="0000007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sistema actualizará el resumen de datos de ventas.</w:t>
      </w:r>
    </w:p>
    <w:p w:rsidR="00000000" w:rsidDel="00000000" w:rsidP="00000000" w:rsidRDefault="00000000" w:rsidRPr="00000000" w14:paraId="000000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El caso de uso finaliza.</w:t>
      </w:r>
    </w:p>
    <w:p w:rsidR="00000000" w:rsidDel="00000000" w:rsidP="00000000" w:rsidRDefault="00000000" w:rsidRPr="00000000" w14:paraId="0000007B">
      <w:pPr>
        <w:pStyle w:val="Heading3"/>
        <w:numPr>
          <w:ilvl w:val="0"/>
          <w:numId w:val="5"/>
        </w:numPr>
        <w:spacing w:after="0" w:after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fmyuakec4pp0" w:id="15"/>
      <w:bookmarkEnd w:id="15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5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nlay935vzisl" w:id="16"/>
      <w:bookmarkEnd w:id="16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