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1"/>
      </w:pPr>
    </w:p>
    <w:p>
      <w:pPr>
        <w:pStyle w:val="6"/>
        <w:jc w:val="center"/>
        <w:rPr>
          <w:lang w:eastAsia="zh-CN"/>
        </w:rPr>
      </w:pPr>
      <w:r>
        <w:rPr>
          <w:rFonts w:hint="eastAsia"/>
          <w:lang w:eastAsia="zh-CN"/>
        </w:rPr>
        <w:t>NBA数据分析系统 NBADAS(NBA Data Analysis System)</w:t>
      </w:r>
    </w:p>
    <w:p>
      <w:pPr>
        <w:pStyle w:val="6"/>
        <w:jc w:val="center"/>
        <w:rPr>
          <w:lang w:eastAsia="zh-CN"/>
        </w:rPr>
      </w:pPr>
      <w:r>
        <w:rPr>
          <w:rFonts w:hint="eastAsia"/>
          <w:lang w:eastAsia="zh-CN"/>
        </w:rPr>
        <w:t>迭代</w:t>
      </w:r>
      <w:r>
        <w:rPr>
          <w:rFonts w:hint="eastAsia"/>
          <w:lang w:val="en-US" w:eastAsia="zh-CN"/>
        </w:rPr>
        <w:t>三</w:t>
      </w:r>
      <w:r>
        <w:rPr>
          <w:rFonts w:hint="eastAsia"/>
          <w:lang w:eastAsia="zh-CN"/>
        </w:rPr>
        <w:t>项目计划</w:t>
      </w:r>
    </w:p>
    <w:p>
      <w:pPr>
        <w:pStyle w:val="6"/>
        <w:jc w:val="center"/>
        <w:rPr>
          <w:lang w:eastAsia="zh-CN"/>
        </w:rPr>
      </w:pPr>
      <w:r>
        <w:rPr>
          <w:rFonts w:hint="eastAsia"/>
          <w:lang w:eastAsia="zh-CN"/>
        </w:rPr>
        <w:t>V1.0 正式版</w:t>
      </w:r>
    </w:p>
    <w:p>
      <w:pPr>
        <w:pStyle w:val="10"/>
        <w:rPr>
          <w:lang w:eastAsia="zh-CN"/>
        </w:rPr>
      </w:pPr>
    </w:p>
    <w:p>
      <w:pPr>
        <w:pStyle w:val="10"/>
        <w:jc w:val="center"/>
        <w:rPr>
          <w:sz w:val="40"/>
          <w:lang w:eastAsia="zh-CN"/>
        </w:rPr>
      </w:pPr>
      <w:r>
        <w:rPr>
          <w:rFonts w:hint="eastAsia"/>
          <w:sz w:val="40"/>
          <w:lang w:eastAsia="zh-CN"/>
        </w:rPr>
        <w:t>Shot小组</w:t>
      </w:r>
    </w:p>
    <w:p>
      <w:pPr>
        <w:pStyle w:val="10"/>
        <w:jc w:val="center"/>
        <w:rPr>
          <w:sz w:val="40"/>
          <w:lang w:eastAsia="zh-CN"/>
        </w:rPr>
      </w:pPr>
    </w:p>
    <w:p>
      <w:pPr>
        <w:pStyle w:val="10"/>
        <w:jc w:val="center"/>
        <w:rPr>
          <w:sz w:val="40"/>
          <w:lang w:eastAsia="zh-CN"/>
        </w:rPr>
      </w:pPr>
      <w:r>
        <w:rPr>
          <w:rFonts w:hint="eastAsia"/>
          <w:sz w:val="40"/>
          <w:lang w:eastAsia="zh-CN"/>
        </w:rPr>
        <w:t>2015-0</w:t>
      </w:r>
      <w:r>
        <w:rPr>
          <w:rFonts w:hint="eastAsia"/>
          <w:sz w:val="40"/>
          <w:lang w:val="en-US" w:eastAsia="zh-CN"/>
        </w:rPr>
        <w:t>4</w:t>
      </w:r>
      <w:r>
        <w:rPr>
          <w:rFonts w:hint="eastAsia"/>
          <w:sz w:val="40"/>
          <w:lang w:eastAsia="zh-CN"/>
        </w:rPr>
        <w:t>-</w:t>
      </w:r>
      <w:r>
        <w:rPr>
          <w:rFonts w:hint="eastAsia"/>
          <w:sz w:val="40"/>
          <w:lang w:val="en-US" w:eastAsia="zh-CN"/>
        </w:rPr>
        <w:t>07</w:t>
      </w:r>
    </w:p>
    <w:p>
      <w:pPr>
        <w:pStyle w:val="10"/>
        <w:jc w:val="both"/>
        <w:rPr>
          <w:sz w:val="21"/>
          <w:szCs w:val="21"/>
          <w:lang w:eastAsia="zh-CN"/>
        </w:rPr>
      </w:pPr>
    </w:p>
    <w:tbl>
      <w:tblPr>
        <w:tblStyle w:val="8"/>
        <w:tblW w:w="986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662"/>
        <w:gridCol w:w="4954"/>
        <w:gridCol w:w="158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bottom w:val="double" w:color="auto" w:sz="12" w:space="0"/>
            </w:tcBorders>
            <w:vAlign w:val="top"/>
          </w:tcPr>
          <w:p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修改人员</w:t>
            </w:r>
          </w:p>
        </w:tc>
        <w:tc>
          <w:tcPr>
            <w:tcW w:w="1662" w:type="dxa"/>
            <w:tcBorders>
              <w:bottom w:val="double" w:color="auto" w:sz="12" w:space="0"/>
            </w:tcBorders>
            <w:vAlign w:val="top"/>
          </w:tcPr>
          <w:p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bottom w:val="double" w:color="auto" w:sz="12" w:space="0"/>
            </w:tcBorders>
            <w:vAlign w:val="top"/>
          </w:tcPr>
          <w:p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变更原因</w:t>
            </w:r>
          </w:p>
        </w:tc>
        <w:tc>
          <w:tcPr>
            <w:tcW w:w="1584" w:type="dxa"/>
            <w:tcBorders>
              <w:bottom w:val="double" w:color="auto" w:sz="12" w:space="0"/>
            </w:tcBorders>
            <w:vAlign w:val="top"/>
          </w:tcPr>
          <w:p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</w:tcBorders>
            <w:vAlign w:val="top"/>
          </w:tcPr>
          <w:p>
            <w:pPr>
              <w:spacing w:before="40" w:after="4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李佳俊</w:t>
            </w:r>
          </w:p>
        </w:tc>
        <w:tc>
          <w:tcPr>
            <w:tcW w:w="1662" w:type="dxa"/>
            <w:tcBorders>
              <w:top w:val="nil"/>
            </w:tcBorders>
            <w:vAlign w:val="top"/>
          </w:tcPr>
          <w:p>
            <w:pPr>
              <w:spacing w:before="40" w:after="40"/>
            </w:pPr>
            <w:r>
              <w:rPr>
                <w:rFonts w:hint="eastAsia"/>
              </w:rPr>
              <w:t>2015-</w:t>
            </w:r>
            <w:r>
              <w:rPr>
                <w:rFonts w:hint="eastAsia"/>
                <w:lang w:val="en-US" w:eastAsia="zh-CN"/>
              </w:rPr>
              <w:t>4-07</w:t>
            </w:r>
          </w:p>
        </w:tc>
        <w:tc>
          <w:tcPr>
            <w:tcW w:w="4954" w:type="dxa"/>
            <w:tcBorders>
              <w:top w:val="nil"/>
            </w:tcBorders>
            <w:vAlign w:val="top"/>
          </w:tcPr>
          <w:p>
            <w:pPr>
              <w:spacing w:before="40" w:after="40"/>
            </w:pPr>
            <w:r>
              <w:rPr>
                <w:rFonts w:hint="eastAsia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  <w:vAlign w:val="top"/>
          </w:tcPr>
          <w:p>
            <w:pPr>
              <w:spacing w:before="40" w:after="40"/>
            </w:pPr>
            <w:r>
              <w:rPr>
                <w:rFonts w:hint="eastAsia"/>
              </w:rPr>
              <w:t>V1.0 草稿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spacing w:before="40" w:after="4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李佳俊</w:t>
            </w:r>
          </w:p>
        </w:tc>
        <w:tc>
          <w:tcPr>
            <w:tcW w:w="1662" w:type="dxa"/>
            <w:vAlign w:val="top"/>
          </w:tcPr>
          <w:p>
            <w:pPr>
              <w:spacing w:before="40" w:after="40"/>
            </w:pPr>
            <w:r>
              <w:rPr>
                <w:rFonts w:hint="eastAsia"/>
              </w:rPr>
              <w:t>2015-</w:t>
            </w:r>
            <w:r>
              <w:rPr>
                <w:rFonts w:hint="eastAsia"/>
                <w:lang w:val="en-US" w:eastAsia="zh-CN"/>
              </w:rPr>
              <w:t>4-08</w:t>
            </w:r>
          </w:p>
        </w:tc>
        <w:tc>
          <w:tcPr>
            <w:tcW w:w="4954" w:type="dxa"/>
            <w:vAlign w:val="top"/>
          </w:tcPr>
          <w:p>
            <w:pPr>
              <w:spacing w:before="40" w:after="40"/>
              <w:rPr>
                <w:rFonts w:hint="eastAsia" w:eastAsia="宋体"/>
              </w:rPr>
            </w:pPr>
            <w:r>
              <w:rPr>
                <w:rFonts w:hint="eastAsia"/>
              </w:rPr>
              <w:t>评审通过</w:t>
            </w:r>
          </w:p>
        </w:tc>
        <w:tc>
          <w:tcPr>
            <w:tcW w:w="1584" w:type="dxa"/>
            <w:vAlign w:val="top"/>
          </w:tcPr>
          <w:p>
            <w:pPr>
              <w:spacing w:before="40" w:after="40"/>
            </w:pPr>
            <w:r>
              <w:rPr>
                <w:rFonts w:hint="eastAsia"/>
              </w:rPr>
              <w:t>V1.0 正式版</w:t>
            </w:r>
          </w:p>
        </w:tc>
      </w:tr>
    </w:tbl>
    <w:p>
      <w:pPr>
        <w:rPr>
          <w:rFonts w:hint="eastAsia" w:ascii="Calibri" w:hAnsi="Calibri" w:eastAsia="宋体" w:cs="Times New Roman"/>
          <w:b/>
          <w:bCs/>
        </w:rPr>
      </w:pPr>
    </w:p>
    <w:p>
      <w:pPr>
        <w:rPr>
          <w:rFonts w:hint="eastAsia" w:ascii="Calibri" w:hAnsi="Calibri" w:eastAsia="宋体" w:cs="Times New Roman"/>
          <w:b/>
          <w:bCs/>
        </w:rPr>
      </w:pPr>
    </w:p>
    <w:p>
      <w:pPr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  <w:b/>
          <w:bCs/>
        </w:rPr>
        <w:t>创建者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李佳俊</w:t>
      </w:r>
    </w:p>
    <w:p>
      <w:pPr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  <w:b/>
          <w:bCs/>
        </w:rPr>
        <w:t>文档使用者</w:t>
      </w:r>
      <w:r>
        <w:rPr>
          <w:rFonts w:hint="eastAsia" w:ascii="Calibri" w:hAnsi="Calibri" w:eastAsia="宋体" w:cs="Times New Roman"/>
        </w:rPr>
        <w:t>：shot Team所有成员</w:t>
      </w:r>
    </w:p>
    <w:p>
      <w:pPr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  <w:b/>
          <w:bCs/>
        </w:rPr>
        <w:t>文档创建日期</w:t>
      </w:r>
      <w:r>
        <w:rPr>
          <w:rFonts w:hint="eastAsia" w:ascii="Calibri" w:hAnsi="Calibri" w:eastAsia="宋体" w:cs="Times New Roman"/>
        </w:rPr>
        <w:t>：2015年</w:t>
      </w:r>
      <w:r>
        <w:rPr>
          <w:rFonts w:hint="eastAsia" w:cs="Times New Roman"/>
          <w:lang w:val="en-US" w:eastAsia="zh-CN"/>
        </w:rPr>
        <w:t>4</w:t>
      </w:r>
      <w:r>
        <w:rPr>
          <w:rFonts w:hint="eastAsia" w:ascii="Calibri" w:hAnsi="Calibri" w:eastAsia="宋体" w:cs="Times New Roman"/>
        </w:rPr>
        <w:t>月</w:t>
      </w:r>
      <w:r>
        <w:rPr>
          <w:rFonts w:hint="eastAsia" w:cs="Times New Roman"/>
          <w:lang w:val="en-US" w:eastAsia="zh-CN"/>
        </w:rPr>
        <w:t>7</w:t>
      </w:r>
      <w:r>
        <w:rPr>
          <w:rFonts w:hint="eastAsia" w:ascii="Calibri" w:hAnsi="Calibri" w:eastAsia="宋体" w:cs="Times New Roman"/>
        </w:rPr>
        <w:t>日</w:t>
      </w:r>
    </w:p>
    <w:p>
      <w:pPr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  <w:b/>
          <w:bCs/>
        </w:rPr>
        <w:t>文档修改记录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李佳俊</w:t>
      </w:r>
    </w:p>
    <w:p>
      <w:pPr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  <w:b/>
          <w:bCs/>
        </w:rPr>
        <w:t>阶段目标</w:t>
      </w:r>
      <w:r>
        <w:rPr>
          <w:rFonts w:hint="eastAsia" w:ascii="Calibri" w:hAnsi="Calibri" w:eastAsia="宋体" w:cs="Times New Roman"/>
        </w:rPr>
        <w:t>：</w:t>
      </w:r>
    </w:p>
    <w:p>
      <w:pPr>
        <w:ind w:firstLine="420"/>
        <w:rPr>
          <w:rFonts w:ascii="Calibri" w:hAnsi="Calibri" w:eastAsia="宋体" w:cs="Times New Roman"/>
        </w:rPr>
      </w:pPr>
      <w:r>
        <w:rPr>
          <w:rFonts w:hint="eastAsia"/>
        </w:rPr>
        <w:t>在迭代</w:t>
      </w:r>
      <w:r>
        <w:rPr>
          <w:rFonts w:hint="eastAsia"/>
          <w:lang w:val="en-US" w:eastAsia="zh-CN"/>
        </w:rPr>
        <w:t>三</w:t>
      </w:r>
      <w:r>
        <w:rPr>
          <w:rFonts w:hint="eastAsia" w:ascii="Calibri" w:hAnsi="Calibri" w:eastAsia="宋体" w:cs="Times New Roman"/>
        </w:rPr>
        <w:t>中，shot Team需要完成以下任务：</w:t>
      </w:r>
    </w:p>
    <w:p>
      <w:pPr>
        <w:numPr>
          <w:ilvl w:val="0"/>
          <w:numId w:val="1"/>
        </w:numPr>
        <w:ind w:firstLine="420"/>
        <w:rPr>
          <w:rFonts w:ascii="Calibri" w:hAnsi="Calibri" w:eastAsia="宋体" w:cs="Times New Roman"/>
        </w:rPr>
      </w:pPr>
      <w:r>
        <w:rPr>
          <w:rFonts w:hint="eastAsia"/>
        </w:rPr>
        <w:t>进一步完善系统的用户需求</w:t>
      </w:r>
      <w:r>
        <w:rPr>
          <w:rFonts w:hint="eastAsia" w:ascii="Calibri" w:hAnsi="Calibri" w:eastAsia="宋体" w:cs="Times New Roman"/>
        </w:rPr>
        <w:t>。</w:t>
      </w:r>
    </w:p>
    <w:p>
      <w:pPr>
        <w:numPr>
          <w:ilvl w:val="0"/>
          <w:numId w:val="1"/>
        </w:numPr>
        <w:ind w:firstLine="420"/>
        <w:rPr>
          <w:rFonts w:ascii="Calibri" w:hAnsi="Calibri" w:eastAsia="宋体" w:cs="Times New Roman"/>
        </w:rPr>
      </w:pPr>
      <w:r>
        <w:rPr>
          <w:rFonts w:hint="eastAsia"/>
        </w:rPr>
        <w:t>对各个候选方案进行风险分析，开发出相应的需求原型</w:t>
      </w:r>
      <w:r>
        <w:rPr>
          <w:rFonts w:hint="eastAsia" w:ascii="Calibri" w:hAnsi="Calibri" w:eastAsia="宋体" w:cs="Times New Roman"/>
        </w:rPr>
        <w:t>。</w:t>
      </w:r>
    </w:p>
    <w:p>
      <w:pPr>
        <w:numPr>
          <w:ilvl w:val="0"/>
          <w:numId w:val="1"/>
        </w:numPr>
        <w:ind w:firstLine="420"/>
      </w:pPr>
      <w:r>
        <w:rPr>
          <w:rFonts w:hint="eastAsia"/>
        </w:rPr>
        <w:t>完成《需求说明文档》，提交给用户确认</w:t>
      </w:r>
      <w:r>
        <w:rPr>
          <w:rFonts w:hint="eastAsia" w:ascii="Calibri" w:hAnsi="Calibri" w:eastAsia="宋体" w:cs="Times New Roman"/>
        </w:rPr>
        <w:t>。</w:t>
      </w:r>
    </w:p>
    <w:p>
      <w:pPr>
        <w:numPr>
          <w:ilvl w:val="0"/>
          <w:numId w:val="1"/>
        </w:numPr>
        <w:ind w:firstLine="420"/>
        <w:rPr>
          <w:rFonts w:ascii="Calibri" w:hAnsi="Calibri" w:eastAsia="宋体" w:cs="Times New Roman"/>
        </w:rPr>
      </w:pPr>
      <w:r>
        <w:rPr>
          <w:rFonts w:hint="eastAsia"/>
        </w:rPr>
        <w:t>学习系统级别的测试方法，编写测试用例。</w:t>
      </w:r>
    </w:p>
    <w:p>
      <w:pPr>
        <w:numPr>
          <w:ilvl w:val="0"/>
          <w:numId w:val="1"/>
        </w:numPr>
        <w:ind w:firstLine="420"/>
        <w:rPr>
          <w:rFonts w:ascii="Calibri" w:hAnsi="Calibri" w:eastAsia="宋体" w:cs="Times New Roman"/>
        </w:rPr>
      </w:pPr>
      <w:r>
        <w:rPr>
          <w:rFonts w:hint="eastAsia"/>
        </w:rPr>
        <w:t>完成迭代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开发。</w:t>
      </w:r>
    </w:p>
    <w:p>
      <w:pPr>
        <w:numPr>
          <w:ilvl w:val="0"/>
          <w:numId w:val="1"/>
        </w:numPr>
        <w:ind w:firstLine="420"/>
        <w:rPr>
          <w:rFonts w:ascii="Calibri" w:hAnsi="Calibri" w:eastAsia="宋体" w:cs="Times New Roman"/>
        </w:rPr>
      </w:pPr>
      <w:r>
        <w:rPr>
          <w:rFonts w:hint="eastAsia"/>
        </w:rPr>
        <w:t>完成测试并总结迭代</w:t>
      </w:r>
      <w:r>
        <w:rPr>
          <w:rFonts w:hint="eastAsia"/>
          <w:lang w:val="en-US" w:eastAsia="zh-CN"/>
        </w:rPr>
        <w:t>三。</w:t>
      </w:r>
    </w:p>
    <w:p>
      <w:pPr>
        <w:numPr>
          <w:ilvl w:val="0"/>
          <w:numId w:val="1"/>
        </w:numPr>
        <w:ind w:firstLine="420"/>
      </w:pPr>
      <w:r>
        <w:rPr>
          <w:rFonts w:hint="eastAsia"/>
          <w:lang w:val="en-US" w:eastAsia="zh-CN"/>
        </w:rPr>
        <w:t>总结整个项目。</w:t>
      </w:r>
    </w:p>
    <w:p/>
    <w:p>
      <w:pPr>
        <w:rPr>
          <w:rFonts w:ascii="Calibri" w:hAnsi="Calibri" w:eastAsia="宋体" w:cs="Times New Roma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日程表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（1）</w:t>
      </w:r>
      <w:r>
        <w:rPr>
          <w:rFonts w:hint="eastAsia"/>
        </w:rPr>
        <w:t>项目日程表</w:t>
      </w:r>
    </w:p>
    <w:p>
      <w:r>
        <w:rPr>
          <w:rFonts w:hint="eastAsia"/>
          <w:b/>
          <w:bCs/>
        </w:rPr>
        <w:t>1）</w:t>
      </w:r>
      <w:r>
        <w:rPr>
          <w:rFonts w:hint="eastAsia"/>
        </w:rPr>
        <w:t>根据目前的进展情况</w:t>
      </w:r>
      <w:bookmarkStart w:id="0" w:name="_GoBack"/>
      <w:bookmarkEnd w:id="0"/>
      <w:r>
        <w:rPr>
          <w:rFonts w:hint="eastAsia"/>
        </w:rPr>
        <w:t>，得到的甘特图如下所示.</w:t>
      </w:r>
    </w:p>
    <w:p/>
    <w:tbl>
      <w:tblPr>
        <w:tblStyle w:val="9"/>
        <w:tblW w:w="85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449"/>
        <w:gridCol w:w="1704"/>
        <w:gridCol w:w="1705"/>
        <w:gridCol w:w="1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449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1704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DURATION</w:t>
            </w:r>
          </w:p>
        </w:tc>
        <w:tc>
          <w:tcPr>
            <w:tcW w:w="1705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START</w:t>
            </w:r>
          </w:p>
        </w:tc>
        <w:tc>
          <w:tcPr>
            <w:tcW w:w="1700" w:type="dxa"/>
            <w:vAlign w:val="top"/>
          </w:tcPr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FINISH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449" w:type="dxa"/>
            <w:vAlign w:val="top"/>
          </w:tcPr>
          <w:p>
            <w:r>
              <w:rPr>
                <w:rFonts w:hint="eastAsia"/>
              </w:rPr>
              <w:t>项目分析，确定目标、限制、和解决方案</w:t>
            </w:r>
          </w:p>
        </w:tc>
        <w:tc>
          <w:tcPr>
            <w:tcW w:w="1704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15/4/30</w:t>
            </w:r>
          </w:p>
        </w:tc>
        <w:tc>
          <w:tcPr>
            <w:tcW w:w="1700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449" w:type="dxa"/>
            <w:vAlign w:val="top"/>
          </w:tcPr>
          <w:p>
            <w:r>
              <w:rPr>
                <w:rFonts w:hint="eastAsia"/>
              </w:rPr>
              <w:t>风险分析，设计项目范围原型</w:t>
            </w:r>
          </w:p>
        </w:tc>
        <w:tc>
          <w:tcPr>
            <w:tcW w:w="1704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15/5/2</w:t>
            </w:r>
          </w:p>
        </w:tc>
        <w:tc>
          <w:tcPr>
            <w:tcW w:w="1700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449" w:type="dxa"/>
            <w:vAlign w:val="top"/>
          </w:tcPr>
          <w:p>
            <w:r>
              <w:rPr>
                <w:rFonts w:hint="eastAsia"/>
              </w:rPr>
              <w:t>项目范围说明和验证，需求评审</w:t>
            </w:r>
          </w:p>
        </w:tc>
        <w:tc>
          <w:tcPr>
            <w:tcW w:w="1704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15/5/3</w:t>
            </w:r>
          </w:p>
        </w:tc>
        <w:tc>
          <w:tcPr>
            <w:tcW w:w="1700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4</w:t>
            </w:r>
          </w:p>
        </w:tc>
        <w:tc>
          <w:tcPr>
            <w:tcW w:w="2449" w:type="dxa"/>
            <w:vAlign w:val="top"/>
          </w:tcPr>
          <w:p>
            <w:r>
              <w:rPr>
                <w:rFonts w:hint="eastAsia"/>
              </w:rPr>
              <w:t>进一步确定目标、限制、和解决方案</w:t>
            </w:r>
          </w:p>
        </w:tc>
        <w:tc>
          <w:tcPr>
            <w:tcW w:w="1704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15/5/4</w:t>
            </w:r>
          </w:p>
        </w:tc>
        <w:tc>
          <w:tcPr>
            <w:tcW w:w="1700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5</w:t>
            </w:r>
          </w:p>
        </w:tc>
        <w:tc>
          <w:tcPr>
            <w:tcW w:w="2449" w:type="dxa"/>
            <w:vAlign w:val="top"/>
          </w:tcPr>
          <w:p>
            <w:r>
              <w:rPr>
                <w:rFonts w:hint="eastAsia"/>
              </w:rPr>
              <w:t>进一步分析风险</w:t>
            </w:r>
          </w:p>
        </w:tc>
        <w:tc>
          <w:tcPr>
            <w:tcW w:w="1704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15/5/6</w:t>
            </w:r>
          </w:p>
        </w:tc>
        <w:tc>
          <w:tcPr>
            <w:tcW w:w="1700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6</w:t>
            </w:r>
          </w:p>
        </w:tc>
        <w:tc>
          <w:tcPr>
            <w:tcW w:w="2449" w:type="dxa"/>
            <w:vAlign w:val="top"/>
          </w:tcPr>
          <w:p>
            <w:r>
              <w:rPr>
                <w:rFonts w:hint="eastAsia"/>
              </w:rPr>
              <w:t>开发需求说明文档并确认</w:t>
            </w:r>
          </w:p>
        </w:tc>
        <w:tc>
          <w:tcPr>
            <w:tcW w:w="1704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15/5/7</w:t>
            </w:r>
          </w:p>
        </w:tc>
        <w:tc>
          <w:tcPr>
            <w:tcW w:w="1700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7</w:t>
            </w:r>
          </w:p>
        </w:tc>
        <w:tc>
          <w:tcPr>
            <w:tcW w:w="2449" w:type="dxa"/>
            <w:vAlign w:val="top"/>
          </w:tcPr>
          <w:p>
            <w:r>
              <w:rPr>
                <w:rFonts w:hint="eastAsia"/>
              </w:rPr>
              <w:t>软件设计编码</w:t>
            </w:r>
          </w:p>
        </w:tc>
        <w:tc>
          <w:tcPr>
            <w:tcW w:w="1704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15/5/14</w:t>
            </w:r>
          </w:p>
        </w:tc>
        <w:tc>
          <w:tcPr>
            <w:tcW w:w="1700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8</w:t>
            </w:r>
          </w:p>
        </w:tc>
        <w:tc>
          <w:tcPr>
            <w:tcW w:w="2449" w:type="dxa"/>
            <w:vAlign w:val="top"/>
          </w:tcPr>
          <w:p>
            <w:r>
              <w:rPr>
                <w:rFonts w:hint="eastAsia"/>
              </w:rPr>
              <w:t>集成测试和单元测试并总结</w:t>
            </w:r>
          </w:p>
        </w:tc>
        <w:tc>
          <w:tcPr>
            <w:tcW w:w="1704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15/5/17</w:t>
            </w:r>
          </w:p>
        </w:tc>
        <w:tc>
          <w:tcPr>
            <w:tcW w:w="1700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7" o:spid="_x0000_s1026" type="#_x0000_t75" style="height:164.7pt;width:41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  <w:b/>
          <w:bCs/>
        </w:rPr>
        <w:t>2)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循环成本估算表（对应于甘特图）：</w:t>
      </w:r>
    </w:p>
    <w:p/>
    <w:p/>
    <w:tbl>
      <w:tblPr>
        <w:tblStyle w:val="9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任务ID</w:t>
            </w:r>
          </w:p>
        </w:tc>
        <w:tc>
          <w:tcPr>
            <w:tcW w:w="28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成本预估</w:t>
            </w:r>
          </w:p>
        </w:tc>
        <w:tc>
          <w:tcPr>
            <w:tcW w:w="28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实际执行记录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8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841" w:type="dxa"/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8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841" w:type="dxa"/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8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841" w:type="dxa"/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4</w:t>
            </w:r>
          </w:p>
        </w:tc>
        <w:tc>
          <w:tcPr>
            <w:tcW w:w="28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841" w:type="dxa"/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5</w:t>
            </w:r>
          </w:p>
        </w:tc>
        <w:tc>
          <w:tcPr>
            <w:tcW w:w="28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841" w:type="dxa"/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6</w:t>
            </w:r>
          </w:p>
        </w:tc>
        <w:tc>
          <w:tcPr>
            <w:tcW w:w="28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841" w:type="dxa"/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7</w:t>
            </w:r>
          </w:p>
        </w:tc>
        <w:tc>
          <w:tcPr>
            <w:tcW w:w="28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2841" w:type="dxa"/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8</w:t>
            </w:r>
          </w:p>
        </w:tc>
        <w:tc>
          <w:tcPr>
            <w:tcW w:w="28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841" w:type="dxa"/>
            <w:vAlign w:val="top"/>
          </w:tcPr>
          <w:p>
            <w:pPr>
              <w:rPr>
                <w:b/>
                <w:bCs/>
              </w:rPr>
            </w:pP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r>
        <w:rPr>
          <w:rFonts w:hint="eastAsia"/>
          <w:b/>
          <w:bCs/>
        </w:rPr>
        <w:t>3）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循环网络图：</w:t>
      </w:r>
    </w:p>
    <w:p>
      <w:pPr>
        <w:rPr>
          <w:b/>
          <w:bCs/>
        </w:rPr>
      </w:pPr>
    </w:p>
    <w:p>
      <w:r>
        <w:rPr>
          <w:rFonts w:hint="eastAsia"/>
        </w:rPr>
        <w:t>第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循环的大部分活动基本上以FS的关系为主，即在完成前一个任务之后下一个任务才开始。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group id="图示 3" o:spid="_x0000_s1027" style="height:242.25pt;width:415.3pt;rotation:0f;" coordorigin="0,0" coordsize="8306,4845">
            <o:lock v:ext="edit" position="f" selection="f" grouping="f" rotation="f" cropping="f" text="f" aspectratio="f"/>
            <v:rect id="Rectangle 3" o:spid="_x0000_s1028" style="position:absolute;left:0;top:0;height:4845;width:8306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</v:rect>
            <v:roundrect id="AutoShape 4" o:spid="_x0000_s1029" style="position:absolute;left:7;top:677;height:1309;width:2182;rotation:0f;" o:ole="f" fillcolor="#4F81BD" filled="t" o:preferrelative="t" stroked="t" coordsize="21600,21600" arcsize="10%">
              <v:stroke weight="2pt" color="#FFFFFF" color2="#FFFFFF" miterlimit="2"/>
              <v:imagedata gain="65536f" blacklevel="0f" gamma="0"/>
              <o:lock v:ext="edit" position="f" selection="f" grouping="f" rotation="f" cropping="f" text="f" aspectratio="f"/>
              <v:textbox inset="3.60pt,3.60pt,3.60pt,3.60pt">
                <w:txbxContent>
                  <w:p>
                    <w:pPr>
                      <w:wordWrap/>
                      <w:spacing w:beforeLines="0" w:afterLines="35" w:line="216" w:lineRule="auto"/>
                      <w:jc w:val="center"/>
                      <w:rPr>
                        <w:rFonts w:ascii="宋体" w:eastAsia="宋体"/>
                        <w:kern w:val="24"/>
                        <w:sz w:val="24"/>
                        <w:szCs w:val="24"/>
                      </w:rPr>
                    </w:pPr>
                    <w:r>
                      <w:rPr>
                        <w:rFonts w:ascii="宋体" w:eastAsia="宋体"/>
                        <w:kern w:val="24"/>
                        <w:sz w:val="24"/>
                        <w:szCs w:val="24"/>
                      </w:rPr>
                      <w:t>制定第</w:t>
                    </w:r>
                    <w:r>
                      <w:rPr>
                        <w:rFonts w:hint="eastAsia" w:ascii="宋体"/>
                        <w:kern w:val="24"/>
                        <w:sz w:val="24"/>
                        <w:szCs w:val="24"/>
                        <w:lang w:val="en-US" w:eastAsia="zh-CN"/>
                      </w:rPr>
                      <w:t>三</w:t>
                    </w:r>
                    <w:r>
                      <w:rPr>
                        <w:rFonts w:ascii="宋体" w:eastAsia="宋体"/>
                        <w:kern w:val="24"/>
                        <w:sz w:val="24"/>
                        <w:szCs w:val="24"/>
                      </w:rPr>
                      <w:t>循环计划</w:t>
                    </w:r>
                  </w:p>
                </w:txbxContent>
              </v:textbox>
            </v:roundrect>
            <v:shape id="AutoShape 5" o:spid="_x0000_s1030" type="#_x0000_t13" style="position:absolute;left:2381;top:1061;height:541;width:463;rotation:0f;" o:ole="f" fillcolor="#B0BFDA" filled="t" o:preferrelative="t" stroked="f" coordorigin="0,0" coordsize="21600,21600" adj="10800,4320">
              <v:imagedata gain="65536f" blacklevel="0f" gamma="0"/>
              <o:lock v:ext="edit" position="f" selection="f" grouping="f" rotation="f" cropping="f" text="f" aspectratio="f"/>
              <v:textbox inset="0.00pt,0.00pt,0.00pt,0.00pt">
                <w:txbxContent>
                  <w:p>
                    <w:pPr>
                      <w:spacing w:beforeLines="0" w:afterLines="35" w:line="216" w:lineRule="auto"/>
                      <w:jc w:val="center"/>
                      <w:rPr>
                        <w:rFonts w:ascii="宋体" w:eastAsia="宋体"/>
                        <w:kern w:val="24"/>
                        <w:sz w:val="18"/>
                        <w:szCs w:val="18"/>
                      </w:rPr>
                    </w:pPr>
                  </w:p>
                </w:txbxContent>
              </v:textbox>
            </v:shape>
            <v:roundrect id="AutoShape 6" o:spid="_x0000_s1031" style="position:absolute;left:3062;top:677;height:1309;width:2182;rotation:0f;" o:ole="f" fillcolor="#4F81BD" filled="t" o:preferrelative="t" stroked="t" coordsize="21600,21600" arcsize="10%">
              <v:stroke weight="2pt" color="#FFFFFF" color2="#FFFFFF" miterlimit="2"/>
              <v:imagedata gain="65536f" blacklevel="0f" gamma="0"/>
              <o:lock v:ext="edit" position="f" selection="f" grouping="f" rotation="f" cropping="f" text="f" aspectratio="f"/>
              <v:textbox inset="3.60pt,3.60pt,3.60pt,3.60pt">
                <w:txbxContent>
                  <w:p>
                    <w:pPr>
                      <w:spacing w:beforeLines="0" w:afterLines="35" w:line="216" w:lineRule="auto"/>
                      <w:jc w:val="center"/>
                      <w:rPr>
                        <w:rFonts w:ascii="宋体" w:eastAsia="宋体"/>
                        <w:kern w:val="24"/>
                        <w:sz w:val="24"/>
                        <w:szCs w:val="24"/>
                      </w:rPr>
                    </w:pPr>
                    <w:r>
                      <w:rPr>
                        <w:rFonts w:ascii="宋体" w:eastAsia="宋体"/>
                        <w:kern w:val="24"/>
                        <w:sz w:val="24"/>
                        <w:szCs w:val="24"/>
                      </w:rPr>
                      <w:t>进一步明确项目的目标、约束条件和相关解决方案</w:t>
                    </w:r>
                  </w:p>
                </w:txbxContent>
              </v:textbox>
            </v:roundrect>
            <v:shape id="AutoShape 7" o:spid="_x0000_s1032" type="#_x0000_t13" style="position:absolute;left:5436;top:1061;height:541;width:463;rotation:0f;" o:ole="f" fillcolor="#B0BFDA" filled="t" o:preferrelative="t" stroked="f" coordorigin="0,0" coordsize="21600,21600" adj="10800,4320">
              <v:imagedata gain="65536f" blacklevel="0f" gamma="0"/>
              <o:lock v:ext="edit" position="f" selection="f" grouping="f" rotation="f" cropping="f" text="f" aspectratio="f"/>
              <v:textbox inset="0.00pt,0.00pt,0.00pt,0.00pt">
                <w:txbxContent>
                  <w:p>
                    <w:pPr>
                      <w:wordWrap/>
                      <w:spacing w:beforeLines="0" w:afterLines="35" w:line="216" w:lineRule="auto"/>
                      <w:jc w:val="center"/>
                      <w:rPr>
                        <w:rFonts w:ascii="宋体" w:eastAsia="宋体"/>
                        <w:kern w:val="24"/>
                        <w:sz w:val="18"/>
                        <w:szCs w:val="18"/>
                      </w:rPr>
                    </w:pPr>
                  </w:p>
                </w:txbxContent>
              </v:textbox>
            </v:shape>
            <v:roundrect id="AutoShape 8" o:spid="_x0000_s1033" style="position:absolute;left:6117;top:677;height:1309;width:2182;rotation:0f;" o:ole="f" fillcolor="#4F81BD" filled="t" o:preferrelative="t" stroked="t" coordsize="21600,21600" arcsize="10%">
              <v:stroke weight="2pt" color="#FFFFFF" color2="#FFFFFF" miterlimit="2"/>
              <v:imagedata gain="65536f" blacklevel="0f" gamma="0"/>
              <o:lock v:ext="edit" position="f" selection="f" grouping="f" rotation="f" cropping="f" text="f" aspectratio="f"/>
              <v:textbox inset="3.60pt,3.60pt,3.60pt,3.60pt">
                <w:txbxContent>
                  <w:p>
                    <w:pPr>
                      <w:spacing w:beforeLines="0" w:afterLines="35" w:line="216" w:lineRule="auto"/>
                      <w:jc w:val="center"/>
                      <w:rPr>
                        <w:rFonts w:ascii="宋体" w:eastAsia="宋体"/>
                        <w:kern w:val="24"/>
                        <w:sz w:val="24"/>
                        <w:szCs w:val="24"/>
                      </w:rPr>
                    </w:pPr>
                    <w:r>
                      <w:rPr>
                        <w:rFonts w:ascii="宋体" w:eastAsia="宋体"/>
                        <w:kern w:val="24"/>
                        <w:sz w:val="24"/>
                        <w:szCs w:val="24"/>
                      </w:rPr>
                      <w:t>风险分析，设计开发界面原型</w:t>
                    </w:r>
                  </w:p>
                </w:txbxContent>
              </v:textbox>
            </v:roundrect>
            <v:shape id="AutoShape 9" o:spid="_x0000_s1034" type="#_x0000_t13" style="position:absolute;left:6976;top:2139;height:541;width:463;rotation:5898240f;" o:ole="f" fillcolor="#B0BFDA" filled="t" o:preferrelative="t" stroked="f" coordorigin="0,0" coordsize="21600,21600" adj="10800,4320">
              <v:imagedata gain="65536f" blacklevel="0f" gamma="0"/>
              <o:lock v:ext="edit" position="f" selection="f" grouping="f" rotation="f" cropping="f" text="f" aspectratio="f"/>
              <v:textbox inset="0.00pt,0.00pt,0.00pt,0.00pt">
                <w:txbxContent>
                  <w:p>
                    <w:pPr>
                      <w:spacing w:beforeLines="0" w:afterLines="35" w:line="216" w:lineRule="auto"/>
                      <w:jc w:val="center"/>
                      <w:rPr>
                        <w:rFonts w:ascii="宋体" w:eastAsia="宋体"/>
                        <w:kern w:val="24"/>
                        <w:sz w:val="18"/>
                        <w:szCs w:val="18"/>
                      </w:rPr>
                    </w:pPr>
                  </w:p>
                </w:txbxContent>
              </v:textbox>
            </v:shape>
            <v:roundrect id="AutoShape 10" o:spid="_x0000_s1035" style="position:absolute;left:6117;top:2859;height:1309;width:2182;rotation:0f;" o:ole="f" fillcolor="#4F81BD" filled="t" o:preferrelative="t" stroked="t" coordsize="21600,21600" arcsize="10%">
              <v:stroke weight="2pt" color="#FFFFFF" color2="#FFFFFF" miterlimit="2"/>
              <v:imagedata gain="65536f" blacklevel="0f" gamma="0"/>
              <o:lock v:ext="edit" position="f" selection="f" grouping="f" rotation="f" cropping="f" text="f" aspectratio="f"/>
              <v:textbox inset="3.60pt,3.60pt,3.60pt,3.60pt">
                <w:txbxContent>
                  <w:p>
                    <w:pPr>
                      <w:wordWrap/>
                      <w:spacing w:beforeLines="0" w:afterLines="35" w:line="216" w:lineRule="auto"/>
                      <w:jc w:val="center"/>
                      <w:rPr>
                        <w:rFonts w:ascii="宋体" w:eastAsia="宋体"/>
                        <w:kern w:val="24"/>
                        <w:sz w:val="24"/>
                        <w:szCs w:val="24"/>
                      </w:rPr>
                    </w:pPr>
                    <w:r>
                      <w:rPr>
                        <w:rFonts w:ascii="宋体" w:eastAsia="宋体"/>
                        <w:kern w:val="24"/>
                        <w:sz w:val="24"/>
                        <w:szCs w:val="24"/>
                      </w:rPr>
                      <w:t>完成需求分析，开发需求说明文档并确认</w:t>
                    </w:r>
                  </w:p>
                </w:txbxContent>
              </v:textbox>
            </v:roundrect>
            <v:shape id="AutoShape 11" o:spid="_x0000_s1036" type="#_x0000_t13" style="position:absolute;left:5462;top:3243;height:541;width:463;rotation:11796480f;" o:ole="f" fillcolor="#B0BFDA" filled="t" o:preferrelative="t" stroked="f" coordorigin="0,0" coordsize="21600,21600" adj="10800,4320">
              <v:imagedata gain="65536f" blacklevel="0f" gamma="0"/>
              <o:lock v:ext="edit" position="f" selection="f" grouping="f" rotation="f" cropping="f" text="f" aspectratio="f"/>
              <v:textbox inset="0.00pt,0.00pt,0.00pt,0.00pt">
                <w:txbxContent>
                  <w:p>
                    <w:pPr>
                      <w:spacing w:beforeLines="0" w:afterLines="35" w:line="216" w:lineRule="auto"/>
                      <w:jc w:val="center"/>
                      <w:rPr>
                        <w:rFonts w:ascii="宋体" w:eastAsia="宋体"/>
                        <w:kern w:val="24"/>
                        <w:sz w:val="18"/>
                        <w:szCs w:val="18"/>
                      </w:rPr>
                    </w:pPr>
                  </w:p>
                </w:txbxContent>
              </v:textbox>
            </v:shape>
            <v:roundrect id="AutoShape 12" o:spid="_x0000_s1037" style="position:absolute;left:3062;top:2859;height:1309;width:2182;rotation:0f;" o:ole="f" fillcolor="#4F81BD" filled="t" o:preferrelative="t" stroked="t" coordsize="21600,21600" arcsize="10%">
              <v:stroke weight="2pt" color="#FFFFFF" color2="#FFFFFF" miterlimit="2"/>
              <v:imagedata gain="65536f" blacklevel="0f" gamma="0"/>
              <o:lock v:ext="edit" position="f" selection="f" grouping="f" rotation="f" cropping="f" text="f" aspectratio="f"/>
              <v:textbox inset="3.60pt,3.60pt,3.60pt,3.60pt">
                <w:txbxContent>
                  <w:p>
                    <w:pPr>
                      <w:spacing w:beforeLines="0" w:afterLines="35" w:line="216" w:lineRule="auto"/>
                      <w:jc w:val="center"/>
                      <w:rPr>
                        <w:rFonts w:ascii="宋体" w:eastAsia="宋体"/>
                        <w:kern w:val="24"/>
                        <w:sz w:val="24"/>
                        <w:szCs w:val="24"/>
                      </w:rPr>
                    </w:pPr>
                    <w:r>
                      <w:rPr>
                        <w:rFonts w:ascii="宋体" w:eastAsia="宋体"/>
                        <w:kern w:val="24"/>
                        <w:sz w:val="24"/>
                        <w:szCs w:val="24"/>
                      </w:rPr>
                      <w:t>编写测试计划和用例</w:t>
                    </w:r>
                  </w:p>
                </w:txbxContent>
              </v:textbox>
            </v:roundrect>
            <v:shape id="AutoShape 13" o:spid="_x0000_s1038" type="#_x0000_t13" style="position:absolute;left:2407;top:3243;height:541;width:463;rotation:11796480f;" o:ole="f" fillcolor="#B0BFDA" filled="t" o:preferrelative="t" stroked="f" coordorigin="0,0" coordsize="21600,21600" adj="10800,4320">
              <v:imagedata gain="65536f" blacklevel="0f" gamma="0"/>
              <o:lock v:ext="edit" position="f" selection="f" grouping="f" rotation="f" cropping="f" text="f" aspectratio="f"/>
              <v:textbox inset="0.00pt,0.00pt,0.00pt,0.00pt">
                <w:txbxContent>
                  <w:p>
                    <w:pPr>
                      <w:wordWrap/>
                      <w:spacing w:beforeLines="0" w:afterLines="35" w:line="216" w:lineRule="auto"/>
                      <w:jc w:val="center"/>
                      <w:rPr>
                        <w:rFonts w:ascii="宋体" w:eastAsia="宋体"/>
                        <w:kern w:val="24"/>
                        <w:sz w:val="18"/>
                        <w:szCs w:val="18"/>
                      </w:rPr>
                    </w:pPr>
                  </w:p>
                </w:txbxContent>
              </v:textbox>
            </v:shape>
            <v:roundrect id="AutoShape 14" o:spid="_x0000_s1039" style="position:absolute;left:7;top:2859;height:1309;width:2182;rotation:0f;" o:ole="f" fillcolor="#4F81BD" filled="t" o:preferrelative="t" stroked="t" coordsize="21600,21600" arcsize="10%">
              <v:stroke weight="2pt" color="#FFFFFF" color2="#FFFFFF" miterlimit="2"/>
              <v:imagedata gain="65536f" blacklevel="0f" gamma="0"/>
              <o:lock v:ext="edit" position="f" selection="f" grouping="f" rotation="f" cropping="f" text="f" aspectratio="f"/>
              <v:textbox inset="3.60pt,3.60pt,3.60pt,3.60pt">
                <w:txbxContent>
                  <w:p>
                    <w:pPr>
                      <w:spacing w:beforeLines="0" w:afterLines="35" w:line="216" w:lineRule="auto"/>
                      <w:jc w:val="center"/>
                      <w:rPr>
                        <w:rFonts w:hint="eastAsia" w:ascii="宋体" w:eastAsia="宋体"/>
                        <w:kern w:val="24"/>
                        <w:sz w:val="24"/>
                        <w:szCs w:val="24"/>
                        <w:lang w:val="en-US" w:eastAsia="zh-CN"/>
                      </w:rPr>
                    </w:pPr>
                    <w:r>
                      <w:rPr>
                        <w:rFonts w:hint="eastAsia" w:ascii="宋体"/>
                        <w:kern w:val="24"/>
                        <w:sz w:val="24"/>
                        <w:szCs w:val="24"/>
                        <w:lang w:val="en-US" w:eastAsia="zh-CN"/>
                      </w:rPr>
                      <w:t>无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>
      <w:pPr>
        <w:rPr>
          <w:b/>
          <w:bCs/>
        </w:rPr>
      </w:pPr>
      <w:r>
        <w:rPr>
          <w:rFonts w:hint="eastAsia"/>
          <w:b/>
          <w:bCs/>
        </w:rPr>
        <w:t>（2）</w:t>
      </w:r>
      <w:r>
        <w:rPr>
          <w:rFonts w:hint="eastAsia"/>
        </w:rPr>
        <w:t>资源日程表（任务日程表）</w:t>
      </w:r>
    </w:p>
    <w:p>
      <w:r>
        <w:rPr>
          <w:rFonts w:hint="eastAsia"/>
        </w:rPr>
        <w:t>根据第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循环的工作日时间（除去周末之外</w:t>
      </w:r>
      <w:r>
        <w:rPr>
          <w:rFonts w:hint="eastAsia"/>
          <w:lang w:val="en-US" w:eastAsia="zh-CN"/>
        </w:rPr>
        <w:t>共19</w:t>
      </w:r>
      <w:r>
        <w:rPr>
          <w:rFonts w:hint="eastAsia"/>
        </w:rPr>
        <w:t>天），安排个人的工作任务如下：</w:t>
      </w:r>
    </w:p>
    <w:tbl>
      <w:tblPr>
        <w:tblStyle w:val="9"/>
        <w:tblW w:w="74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5"/>
        <w:gridCol w:w="637"/>
        <w:gridCol w:w="784"/>
        <w:gridCol w:w="847"/>
        <w:gridCol w:w="1054"/>
        <w:gridCol w:w="1071"/>
        <w:gridCol w:w="1033"/>
        <w:gridCol w:w="1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人员</w:t>
            </w:r>
          </w:p>
        </w:tc>
        <w:tc>
          <w:tcPr>
            <w:tcW w:w="1421" w:type="dxa"/>
            <w:gridSpan w:val="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DAY1</w:t>
            </w:r>
          </w:p>
        </w:tc>
        <w:tc>
          <w:tcPr>
            <w:tcW w:w="847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DAY2-3</w:t>
            </w:r>
          </w:p>
        </w:tc>
        <w:tc>
          <w:tcPr>
            <w:tcW w:w="1054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DAY4-6</w:t>
            </w:r>
          </w:p>
        </w:tc>
        <w:tc>
          <w:tcPr>
            <w:tcW w:w="107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DAY7-8</w:t>
            </w:r>
          </w:p>
        </w:tc>
        <w:tc>
          <w:tcPr>
            <w:tcW w:w="1033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DAY9-16</w:t>
            </w:r>
          </w:p>
        </w:tc>
        <w:tc>
          <w:tcPr>
            <w:tcW w:w="1053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DAY17-20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宋苹苹</w:t>
            </w:r>
          </w:p>
        </w:tc>
        <w:tc>
          <w:tcPr>
            <w:tcW w:w="1421" w:type="dxa"/>
            <w:gridSpan w:val="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召集团队成员会议讨论，分析涉众并进行评估和选择，完善需求分析，进一步确定解决方案</w:t>
            </w:r>
          </w:p>
        </w:tc>
        <w:tc>
          <w:tcPr>
            <w:tcW w:w="847" w:type="dxa"/>
            <w:vMerge w:val="restart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风险分析</w:t>
            </w:r>
          </w:p>
        </w:tc>
        <w:tc>
          <w:tcPr>
            <w:tcW w:w="1054" w:type="dxa"/>
            <w:vMerge w:val="restart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内部评审需求分析</w:t>
            </w:r>
          </w:p>
        </w:tc>
        <w:tc>
          <w:tcPr>
            <w:tcW w:w="1071" w:type="dxa"/>
            <w:vMerge w:val="restart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开发需求文档</w:t>
            </w:r>
          </w:p>
        </w:tc>
        <w:tc>
          <w:tcPr>
            <w:tcW w:w="1033" w:type="dxa"/>
            <w:vMerge w:val="restart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软件设计编码</w:t>
            </w:r>
          </w:p>
        </w:tc>
        <w:tc>
          <w:tcPr>
            <w:tcW w:w="1053" w:type="dxa"/>
            <w:vMerge w:val="restart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集成测试和单元测试并总结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王雅婷</w:t>
            </w: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637" w:type="dxa"/>
            <w:vMerge w:val="restart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参加集体讨论</w:t>
            </w:r>
          </w:p>
        </w:tc>
        <w:tc>
          <w:tcPr>
            <w:tcW w:w="784" w:type="dxa"/>
            <w:vMerge w:val="restart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协助完成各个涉众的评估报告，帮助完成解决方案的设计</w:t>
            </w:r>
          </w:p>
        </w:tc>
        <w:tc>
          <w:tcPr>
            <w:tcW w:w="847" w:type="dxa"/>
            <w:vMerge w:val="continue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054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071" w:type="dxa"/>
            <w:vMerge w:val="continue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033" w:type="dxa"/>
            <w:vMerge w:val="continue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053" w:type="dxa"/>
            <w:vMerge w:val="continue"/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李佳俊</w:t>
            </w: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637" w:type="dxa"/>
            <w:vMerge w:val="continue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784" w:type="dxa"/>
            <w:vMerge w:val="continue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847" w:type="dxa"/>
            <w:vMerge w:val="continue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054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071" w:type="dxa"/>
            <w:vMerge w:val="continue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033" w:type="dxa"/>
            <w:vMerge w:val="continue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053" w:type="dxa"/>
            <w:vMerge w:val="continue"/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965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肖旖</w:t>
            </w:r>
          </w:p>
        </w:tc>
        <w:tc>
          <w:tcPr>
            <w:tcW w:w="637" w:type="dxa"/>
            <w:vMerge w:val="continue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784" w:type="dxa"/>
            <w:vMerge w:val="continue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847" w:type="dxa"/>
            <w:vMerge w:val="continue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054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071" w:type="dxa"/>
            <w:vMerge w:val="continue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033" w:type="dxa"/>
            <w:vMerge w:val="continue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053" w:type="dxa"/>
            <w:vMerge w:val="continue"/>
            <w:vAlign w:val="top"/>
          </w:tcPr>
          <w:p>
            <w:pPr>
              <w:rPr>
                <w:b/>
                <w:bCs/>
              </w:rPr>
            </w:pP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里程碑和里程碑标志日期</w:t>
      </w:r>
    </w:p>
    <w:p>
      <w:pPr>
        <w:tabs>
          <w:tab w:val="left" w:pos="426"/>
        </w:tabs>
        <w:ind w:firstLine="420" w:firstLineChars="200"/>
        <w:rPr>
          <w:rFonts w:hint="eastAsia"/>
        </w:rPr>
      </w:pPr>
      <w:r>
        <w:rPr>
          <w:rFonts w:hint="eastAsia"/>
        </w:rPr>
        <w:t>里程碑1：分配任务并</w:t>
      </w:r>
      <w:r>
        <w:rPr>
          <w:rFonts w:hint="eastAsia"/>
          <w:lang w:val="en-US" w:eastAsia="zh-CN"/>
        </w:rPr>
        <w:t>开始迭代三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里程碑日期：</w:t>
      </w:r>
      <w:r>
        <w:rPr>
          <w:rFonts w:hint="eastAsia"/>
          <w:lang w:val="en-US" w:eastAsia="zh-CN"/>
        </w:rPr>
        <w:t>2015年4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30</w:t>
      </w:r>
      <w:r>
        <w:rPr>
          <w:rFonts w:hint="eastAsia"/>
        </w:rPr>
        <w:t>日</w:t>
      </w:r>
    </w:p>
    <w:p>
      <w:pPr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里程碑2：确定并通过《需求规格说明书》。</w:t>
      </w:r>
    </w:p>
    <w:p>
      <w:pPr>
        <w:ind w:firstLine="420"/>
        <w:rPr>
          <w:rFonts w:hint="eastAsia"/>
        </w:rPr>
      </w:pPr>
      <w:r>
        <w:rPr>
          <w:rFonts w:hint="eastAsia"/>
        </w:rPr>
        <w:t>里程碑日期：2015</w:t>
      </w:r>
      <w:r>
        <w:rPr>
          <w:rFonts w:hint="eastAsia"/>
          <w:lang w:val="en-US" w:eastAsia="zh-CN"/>
        </w:rPr>
        <w:t>年5月7日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计划执行检查表</w:t>
      </w:r>
    </w:p>
    <w:p>
      <w:r>
        <w:rPr>
          <w:rFonts w:hint="eastAsia"/>
        </w:rPr>
        <w:t>根据资源日程表的内容，制定如下执行检察表：</w:t>
      </w:r>
    </w:p>
    <w:p>
      <w:pPr>
        <w:rPr>
          <w:b/>
          <w:bCs/>
        </w:rPr>
      </w:pPr>
    </w:p>
    <w:tbl>
      <w:tblPr>
        <w:tblStyle w:val="9"/>
        <w:tblW w:w="74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5"/>
        <w:gridCol w:w="637"/>
        <w:gridCol w:w="784"/>
        <w:gridCol w:w="847"/>
        <w:gridCol w:w="1054"/>
        <w:gridCol w:w="1071"/>
        <w:gridCol w:w="1033"/>
        <w:gridCol w:w="1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人员</w:t>
            </w:r>
          </w:p>
        </w:tc>
        <w:tc>
          <w:tcPr>
            <w:tcW w:w="1421" w:type="dxa"/>
            <w:gridSpan w:val="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DAY1</w:t>
            </w:r>
          </w:p>
        </w:tc>
        <w:tc>
          <w:tcPr>
            <w:tcW w:w="847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DAY2-3</w:t>
            </w:r>
          </w:p>
        </w:tc>
        <w:tc>
          <w:tcPr>
            <w:tcW w:w="1054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DAY4-6</w:t>
            </w:r>
          </w:p>
        </w:tc>
        <w:tc>
          <w:tcPr>
            <w:tcW w:w="107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DAY7-8</w:t>
            </w:r>
          </w:p>
        </w:tc>
        <w:tc>
          <w:tcPr>
            <w:tcW w:w="1033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DAY9-16</w:t>
            </w:r>
          </w:p>
        </w:tc>
        <w:tc>
          <w:tcPr>
            <w:tcW w:w="1053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DAY17-20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宋苹苹</w:t>
            </w:r>
          </w:p>
        </w:tc>
        <w:tc>
          <w:tcPr>
            <w:tcW w:w="1421" w:type="dxa"/>
            <w:gridSpan w:val="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涉众分析会议记录；解决方案描述</w:t>
            </w:r>
          </w:p>
        </w:tc>
        <w:tc>
          <w:tcPr>
            <w:tcW w:w="847" w:type="dxa"/>
            <w:vMerge w:val="restart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风险分析</w:t>
            </w:r>
          </w:p>
        </w:tc>
        <w:tc>
          <w:tcPr>
            <w:tcW w:w="1054" w:type="dxa"/>
            <w:vMerge w:val="restart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内部评审需求分析,制定下阶段计划</w:t>
            </w:r>
          </w:p>
        </w:tc>
        <w:tc>
          <w:tcPr>
            <w:tcW w:w="1071" w:type="dxa"/>
            <w:vMerge w:val="restart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开发需求文档</w:t>
            </w:r>
          </w:p>
        </w:tc>
        <w:tc>
          <w:tcPr>
            <w:tcW w:w="1033" w:type="dxa"/>
            <w:vMerge w:val="restart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软件设计编码</w:t>
            </w:r>
          </w:p>
        </w:tc>
        <w:tc>
          <w:tcPr>
            <w:tcW w:w="1053" w:type="dxa"/>
            <w:vMerge w:val="restart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集成测试和单元测试并总结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王雅婷</w:t>
            </w: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637" w:type="dxa"/>
            <w:vMerge w:val="restart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784" w:type="dxa"/>
            <w:vMerge w:val="restart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各个涉众角色的评估分析表</w:t>
            </w:r>
          </w:p>
        </w:tc>
        <w:tc>
          <w:tcPr>
            <w:tcW w:w="847" w:type="dxa"/>
            <w:vMerge w:val="continue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054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071" w:type="dxa"/>
            <w:vMerge w:val="continue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033" w:type="dxa"/>
            <w:vMerge w:val="continue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053" w:type="dxa"/>
            <w:vMerge w:val="continue"/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李佳俊</w:t>
            </w: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637" w:type="dxa"/>
            <w:vMerge w:val="continue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784" w:type="dxa"/>
            <w:vMerge w:val="continue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847" w:type="dxa"/>
            <w:vMerge w:val="continue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054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071" w:type="dxa"/>
            <w:vMerge w:val="continue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033" w:type="dxa"/>
            <w:vMerge w:val="continue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053" w:type="dxa"/>
            <w:vMerge w:val="continue"/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965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肖旖</w:t>
            </w:r>
          </w:p>
        </w:tc>
        <w:tc>
          <w:tcPr>
            <w:tcW w:w="637" w:type="dxa"/>
            <w:vMerge w:val="continue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784" w:type="dxa"/>
            <w:vMerge w:val="continue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847" w:type="dxa"/>
            <w:vMerge w:val="continue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054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071" w:type="dxa"/>
            <w:vMerge w:val="continue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033" w:type="dxa"/>
            <w:vMerge w:val="continue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1053" w:type="dxa"/>
            <w:vMerge w:val="continue"/>
            <w:vAlign w:val="top"/>
          </w:tcPr>
          <w:p>
            <w:pPr>
              <w:rPr>
                <w:b/>
                <w:bCs/>
              </w:rPr>
            </w:pPr>
          </w:p>
        </w:tc>
      </w:tr>
    </w:tbl>
    <w:p>
      <w:pPr>
        <w:pStyle w:val="10"/>
        <w:jc w:val="both"/>
        <w:rPr>
          <w:b w:val="0"/>
          <w:sz w:val="21"/>
          <w:szCs w:val="21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26394986">
    <w:nsid w:val="55050F6A"/>
    <w:multiLevelType w:val="singleLevel"/>
    <w:tmpl w:val="55050F6A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4263949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54E0D"/>
    <w:rsid w:val="000F1D6F"/>
    <w:rsid w:val="0015682A"/>
    <w:rsid w:val="00260A4A"/>
    <w:rsid w:val="004C364D"/>
    <w:rsid w:val="00574454"/>
    <w:rsid w:val="005A0525"/>
    <w:rsid w:val="00654E0D"/>
    <w:rsid w:val="007130BC"/>
    <w:rsid w:val="0073379C"/>
    <w:rsid w:val="00895E92"/>
    <w:rsid w:val="008E7325"/>
    <w:rsid w:val="00982C0A"/>
    <w:rsid w:val="009F7223"/>
    <w:rsid w:val="00B507D4"/>
    <w:rsid w:val="00B62962"/>
    <w:rsid w:val="00C46A43"/>
    <w:rsid w:val="00CB5915"/>
    <w:rsid w:val="00D85554"/>
    <w:rsid w:val="00E13063"/>
    <w:rsid w:val="00E324EE"/>
    <w:rsid w:val="00F16BEB"/>
    <w:rsid w:val="00FB4D15"/>
    <w:rsid w:val="00FC01CA"/>
    <w:rsid w:val="011149CC"/>
    <w:rsid w:val="24194FC5"/>
    <w:rsid w:val="262E24B2"/>
    <w:rsid w:val="33994071"/>
    <w:rsid w:val="49E96EEB"/>
    <w:rsid w:val="4F9672A2"/>
    <w:rsid w:val="50365B27"/>
    <w:rsid w:val="55A3078C"/>
    <w:rsid w:val="5B3204AE"/>
    <w:rsid w:val="6C243613"/>
    <w:rsid w:val="74E41CD4"/>
    <w:rsid w:val="76B850D2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99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Date"/>
    <w:basedOn w:val="1"/>
    <w:next w:val="1"/>
    <w:link w:val="13"/>
    <w:unhideWhenUsed/>
    <w:uiPriority w:val="99"/>
    <w:pPr>
      <w:ind w:left="100" w:leftChars="2500"/>
    </w:pPr>
  </w:style>
  <w:style w:type="paragraph" w:styleId="3">
    <w:name w:val="Balloon Text"/>
    <w:basedOn w:val="1"/>
    <w:link w:val="16"/>
    <w:unhideWhenUsed/>
    <w:uiPriority w:val="99"/>
    <w:rPr>
      <w:sz w:val="18"/>
      <w:szCs w:val="18"/>
    </w:rPr>
  </w:style>
  <w:style w:type="paragraph" w:styleId="4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link w:val="12"/>
    <w:qFormat/>
    <w:uiPriority w:val="10"/>
    <w:pPr>
      <w:widowControl/>
      <w:spacing w:before="240" w:after="720"/>
      <w:jc w:val="right"/>
    </w:pPr>
    <w:rPr>
      <w:rFonts w:ascii="Arial" w:hAnsi="Arial" w:eastAsia="宋体" w:cs="Times New Roman"/>
      <w:b/>
      <w:kern w:val="28"/>
      <w:sz w:val="64"/>
      <w:szCs w:val="20"/>
      <w:lang w:eastAsia="en-US"/>
    </w:rPr>
  </w:style>
  <w:style w:type="table" w:styleId="9">
    <w:name w:val="Table Grid"/>
    <w:basedOn w:val="8"/>
    <w:uiPriority w:val="59"/>
    <w:pPr/>
    <w:tblPr>
      <w:tblStyle w:val="8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10">
    <w:name w:val="ByLine"/>
    <w:basedOn w:val="6"/>
    <w:uiPriority w:val="0"/>
    <w:rPr>
      <w:sz w:val="28"/>
    </w:rPr>
  </w:style>
  <w:style w:type="paragraph" w:customStyle="1" w:styleId="11">
    <w:name w:val="line"/>
    <w:basedOn w:val="6"/>
    <w:uiPriority w:val="0"/>
    <w:pPr>
      <w:pBdr>
        <w:top w:val="single" w:color="auto" w:sz="36" w:space="1"/>
      </w:pBdr>
      <w:spacing w:after="0"/>
    </w:pPr>
    <w:rPr>
      <w:sz w:val="40"/>
    </w:rPr>
  </w:style>
  <w:style w:type="character" w:customStyle="1" w:styleId="12">
    <w:name w:val="标题 Char"/>
    <w:basedOn w:val="7"/>
    <w:link w:val="6"/>
    <w:uiPriority w:val="10"/>
    <w:rPr>
      <w:rFonts w:ascii="Arial" w:hAnsi="Arial" w:eastAsia="宋体" w:cs="Times New Roman"/>
      <w:b/>
      <w:kern w:val="28"/>
      <w:sz w:val="64"/>
      <w:szCs w:val="20"/>
      <w:lang w:eastAsia="en-US"/>
    </w:rPr>
  </w:style>
  <w:style w:type="character" w:customStyle="1" w:styleId="13">
    <w:name w:val="日期 Char"/>
    <w:basedOn w:val="7"/>
    <w:link w:val="2"/>
    <w:semiHidden/>
    <w:uiPriority w:val="99"/>
    <w:rPr/>
  </w:style>
  <w:style w:type="character" w:customStyle="1" w:styleId="14">
    <w:name w:val="页眉 Char"/>
    <w:basedOn w:val="7"/>
    <w:link w:val="5"/>
    <w:semiHidden/>
    <w:uiPriority w:val="99"/>
    <w:rPr>
      <w:sz w:val="18"/>
      <w:szCs w:val="18"/>
    </w:rPr>
  </w:style>
  <w:style w:type="character" w:customStyle="1" w:styleId="15">
    <w:name w:val="页脚 Char"/>
    <w:basedOn w:val="7"/>
    <w:link w:val="4"/>
    <w:semiHidden/>
    <w:uiPriority w:val="99"/>
    <w:rPr>
      <w:sz w:val="18"/>
      <w:szCs w:val="18"/>
    </w:rPr>
  </w:style>
  <w:style w:type="character" w:customStyle="1" w:styleId="16">
    <w:name w:val="批注框文本 Char"/>
    <w:basedOn w:val="7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 textRotate="1"/>
    <customShpInfo spid="_x0000_s1030" textRotate="1"/>
    <customShpInfo spid="_x0000_s1031" textRotate="1"/>
    <customShpInfo spid="_x0000_s1032" textRotate="1"/>
    <customShpInfo spid="_x0000_s1033" textRotate="1"/>
    <customShpInfo spid="_x0000_s1034" textRotate="1"/>
    <customShpInfo spid="_x0000_s1035" textRotate="1"/>
    <customShpInfo spid="_x0000_s1036" textRotate="1"/>
    <customShpInfo spid="_x0000_s1037" textRotate="1"/>
    <customShpInfo spid="_x0000_s1038" textRotate="1"/>
    <customShpInfo spid="_x0000_s103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209</Words>
  <Characters>1196</Characters>
  <Lines>9</Lines>
  <Paragraphs>2</Paragraphs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2015-03-15T10:52:00Z</dcterms:created>
  <dc:creator>Administrator</dc:creator>
  <cp:lastModifiedBy>Jason</cp:lastModifiedBy>
  <dcterms:modified xsi:type="dcterms:W3CDTF">2015-04-12T13:02:50Z</dcterms:modified>
  <dc:title>NBA数据分析系统 NBADAS(NBA Data Analysis System)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