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0E8BB8">
      <w:pPr>
        <w:pStyle w:val="2"/>
      </w:pPr>
      <w:bookmarkStart w:id="0" w:name="_Toc200466321"/>
      <w:r>
        <w:rPr>
          <w:rFonts w:ascii="Calibri" w:hAnsi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TDL-001 </w:t>
      </w:r>
      <w:r>
        <w:rPr>
          <w:rFonts w:ascii="Calibri" w:hAnsi="Calibri" w:cs="Calibr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–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HTTP Request Smuggling – {Medium} {Open}</w:t>
      </w:r>
      <w:bookmarkEnd w:id="0"/>
    </w:p>
    <w:tbl>
      <w:tblPr>
        <w:tblStyle w:val="5"/>
        <w:tblpPr w:leftFromText="180" w:rightFromText="180" w:vertAnchor="text" w:horzAnchor="margin" w:tblpY="52"/>
        <w:tblW w:w="9488" w:type="dxa"/>
        <w:tblInd w:w="0" w:type="dxa"/>
        <w:tblBorders>
          <w:top w:val="single" w:color="C6584D" w:sz="4" w:space="0"/>
          <w:left w:val="single" w:color="C6584D" w:sz="4" w:space="0"/>
          <w:bottom w:val="single" w:color="C6584D" w:sz="4" w:space="0"/>
          <w:right w:val="single" w:color="C6584D" w:sz="4" w:space="0"/>
          <w:insideH w:val="single" w:color="C6584D" w:sz="4" w:space="0"/>
          <w:insideV w:val="single" w:color="C6584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6804"/>
      </w:tblGrid>
      <w:tr w14:paraId="32135B11">
        <w:tblPrEx>
          <w:tblBorders>
            <w:top w:val="single" w:color="C6584D" w:sz="4" w:space="0"/>
            <w:left w:val="single" w:color="C6584D" w:sz="4" w:space="0"/>
            <w:bottom w:val="single" w:color="C6584D" w:sz="4" w:space="0"/>
            <w:right w:val="single" w:color="C6584D" w:sz="4" w:space="0"/>
            <w:insideH w:val="single" w:color="C6584D" w:sz="4" w:space="0"/>
            <w:insideV w:val="single" w:color="C6584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684" w:type="dxa"/>
            <w:shd w:val="clear" w:color="auto" w:fill="C6584D"/>
            <w:vAlign w:val="center"/>
          </w:tcPr>
          <w:p w14:paraId="0030F42E">
            <w:pPr>
              <w:spacing w:beforeLines="0" w:beforeAutospacing="0" w:after="0" w:afterLines="0" w:afterAutospacing="0" w:line="240" w:lineRule="auto"/>
              <w:jc w:val="both"/>
              <w:rPr>
                <w:rFonts w:ascii="Calibri" w:hAnsi="Calibri" w:cs="Calibri"/>
                <w:b w:val="0"/>
                <w:bCs w:val="0"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Vulnerable URLs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11447CC">
            <w:pPr>
              <w:spacing w:beforeLines="0" w:beforeAutospacing="0" w:after="0" w:afterLines="0" w:afterAutospacing="0" w:line="240" w:lineRule="auto"/>
              <w:jc w:val="both"/>
              <w:rPr>
                <w:rStyle w:val="6"/>
                <w:rFonts w:ascii="Calibri" w:hAnsi="Calibri" w:cs="Calibri"/>
                <w:b w:val="0"/>
                <w:bCs w:val="0"/>
                <w:color w:val="auto"/>
                <w:sz w:val="24"/>
                <w:szCs w:val="24"/>
                <w:lang w:val="en-US" w:eastAsia="en-US"/>
              </w:rPr>
            </w:pPr>
            <w:r>
              <w:rPr>
                <w:rStyle w:val="6"/>
                <w:rFonts w:ascii="Calibri" w:hAnsi="Calibri" w:cs="Calibri"/>
                <w:b w:val="0"/>
                <w:bCs w:val="0"/>
                <w:color w:val="auto"/>
                <w:sz w:val="24"/>
                <w:szCs w:val="24"/>
                <w:lang w:val="en-US" w:eastAsia="en-US"/>
              </w:rPr>
              <w:t>N/A</w:t>
            </w:r>
          </w:p>
        </w:tc>
      </w:tr>
      <w:tr w14:paraId="5A88FCFA">
        <w:tblPrEx>
          <w:tblBorders>
            <w:top w:val="single" w:color="C6584D" w:sz="4" w:space="0"/>
            <w:left w:val="single" w:color="C6584D" w:sz="4" w:space="0"/>
            <w:bottom w:val="single" w:color="C6584D" w:sz="4" w:space="0"/>
            <w:right w:val="single" w:color="C6584D" w:sz="4" w:space="0"/>
            <w:insideH w:val="single" w:color="C6584D" w:sz="4" w:space="0"/>
            <w:insideV w:val="single" w:color="C6584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684" w:type="dxa"/>
            <w:shd w:val="clear" w:color="auto" w:fill="C6584D"/>
            <w:vAlign w:val="center"/>
          </w:tcPr>
          <w:p w14:paraId="2B996A14">
            <w:pPr>
              <w:spacing w:after="0" w:line="240" w:lineRule="auto"/>
              <w:jc w:val="both"/>
              <w:rPr>
                <w:rFonts w:ascii="Calibri" w:hAnsi="Calibri" w:cs="Calibri"/>
                <w:b w:val="0"/>
                <w:bCs w:val="0"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Vulnerable Parameter</w:t>
            </w:r>
          </w:p>
        </w:tc>
        <w:tc>
          <w:tcPr>
            <w:tcW w:w="6804" w:type="dxa"/>
            <w:vAlign w:val="center"/>
          </w:tcPr>
          <w:p w14:paraId="37873F02">
            <w:pPr>
              <w:spacing w:after="0" w:line="240" w:lineRule="auto"/>
              <w:jc w:val="both"/>
              <w:rPr>
                <w:rStyle w:val="6"/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Style w:val="6"/>
                <w:rFonts w:ascii="Calibri" w:hAnsi="Calibri" w:cs="Calibri"/>
                <w:sz w:val="24"/>
                <w:szCs w:val="24"/>
                <w:lang w:val="en-US" w:eastAsia="en-US"/>
              </w:rPr>
              <w:t>N/A</w:t>
            </w:r>
          </w:p>
        </w:tc>
      </w:tr>
      <w:tr w14:paraId="2EC2115E">
        <w:tblPrEx>
          <w:tblBorders>
            <w:top w:val="single" w:color="C6584D" w:sz="4" w:space="0"/>
            <w:left w:val="single" w:color="C6584D" w:sz="4" w:space="0"/>
            <w:bottom w:val="single" w:color="C6584D" w:sz="4" w:space="0"/>
            <w:right w:val="single" w:color="C6584D" w:sz="4" w:space="0"/>
            <w:insideH w:val="single" w:color="C6584D" w:sz="4" w:space="0"/>
            <w:insideV w:val="single" w:color="C6584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684" w:type="dxa"/>
            <w:shd w:val="clear" w:color="auto" w:fill="C6584D"/>
            <w:vAlign w:val="center"/>
          </w:tcPr>
          <w:p w14:paraId="545DE71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Payload</w:t>
            </w:r>
          </w:p>
        </w:tc>
        <w:tc>
          <w:tcPr>
            <w:tcW w:w="6804" w:type="dxa"/>
            <w:vAlign w:val="center"/>
          </w:tcPr>
          <w:p w14:paraId="31769F17">
            <w:pPr>
              <w:shd w:val="clear" w:color="auto" w:fill="FFFFFF"/>
              <w:spacing w:after="0" w:line="240" w:lineRule="auto"/>
              <w:jc w:val="both"/>
              <w:rPr>
                <w:rStyle w:val="6"/>
                <w:rFonts w:ascii="Calibri" w:hAnsi="Calibri" w:cs="Calibri"/>
                <w:sz w:val="24"/>
                <w:szCs w:val="24"/>
                <w:lang w:val="en-US" w:eastAsia="en-US"/>
              </w:rPr>
            </w:pPr>
            <w:r>
              <w:rPr>
                <w:rStyle w:val="6"/>
                <w:rFonts w:ascii="Calibri" w:hAnsi="Calibri" w:cs="Calibri"/>
                <w:sz w:val="24"/>
                <w:szCs w:val="24"/>
                <w:lang w:val="en-US" w:eastAsia="en-US"/>
              </w:rPr>
              <w:t>N/A</w:t>
            </w:r>
          </w:p>
        </w:tc>
      </w:tr>
      <w:tr w14:paraId="19B1AD76">
        <w:tblPrEx>
          <w:tblBorders>
            <w:top w:val="single" w:color="C6584D" w:sz="4" w:space="0"/>
            <w:left w:val="single" w:color="C6584D" w:sz="4" w:space="0"/>
            <w:bottom w:val="single" w:color="C6584D" w:sz="4" w:space="0"/>
            <w:right w:val="single" w:color="C6584D" w:sz="4" w:space="0"/>
            <w:insideH w:val="single" w:color="C6584D" w:sz="4" w:space="0"/>
            <w:insideV w:val="single" w:color="C6584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84" w:type="dxa"/>
            <w:shd w:val="clear" w:color="auto" w:fill="C6584D"/>
            <w:vAlign w:val="center"/>
          </w:tcPr>
          <w:p w14:paraId="66211F15">
            <w:pPr>
              <w:spacing w:after="0" w:line="240" w:lineRule="auto"/>
              <w:jc w:val="both"/>
              <w:rPr>
                <w:rFonts w:ascii="Calibri" w:hAnsi="Calibri" w:cs="Calibri"/>
                <w:b w:val="0"/>
                <w:bCs w:val="0"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Vulnerability Class</w:t>
            </w:r>
          </w:p>
        </w:tc>
        <w:tc>
          <w:tcPr>
            <w:tcW w:w="6804" w:type="dxa"/>
            <w:vAlign w:val="center"/>
          </w:tcPr>
          <w:p w14:paraId="1FB263F7">
            <w:pPr>
              <w:shd w:val="clear" w:color="auto" w:fill="FFFFFF"/>
              <w:spacing w:after="0" w:line="240" w:lineRule="auto"/>
              <w:jc w:val="both"/>
              <w:rPr>
                <w:rStyle w:val="6"/>
                <w:rFonts w:ascii="Calibri" w:hAnsi="Calibri" w:cs="Calibri"/>
                <w:sz w:val="24"/>
                <w:szCs w:val="24"/>
                <w:lang w:val="en-US" w:eastAsia="en-US"/>
              </w:rPr>
            </w:pPr>
            <w:r>
              <w:rPr>
                <w:rStyle w:val="6"/>
                <w:rFonts w:ascii="Calibri" w:hAnsi="Calibri" w:cs="Calibri"/>
                <w:sz w:val="24"/>
                <w:szCs w:val="24"/>
                <w:lang w:val="en-US" w:eastAsia="en-US"/>
              </w:rPr>
              <w:t>A05:2021 – Security Misconfiguration</w:t>
            </w:r>
          </w:p>
        </w:tc>
      </w:tr>
      <w:tr w14:paraId="2E527147">
        <w:tblPrEx>
          <w:tblBorders>
            <w:top w:val="single" w:color="C6584D" w:sz="4" w:space="0"/>
            <w:left w:val="single" w:color="C6584D" w:sz="4" w:space="0"/>
            <w:bottom w:val="single" w:color="C6584D" w:sz="4" w:space="0"/>
            <w:right w:val="single" w:color="C6584D" w:sz="4" w:space="0"/>
            <w:insideH w:val="single" w:color="C6584D" w:sz="4" w:space="0"/>
            <w:insideV w:val="single" w:color="C6584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84" w:type="dxa"/>
            <w:shd w:val="clear" w:color="auto" w:fill="C6584D"/>
            <w:vAlign w:val="center"/>
          </w:tcPr>
          <w:p w14:paraId="50583A38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CVSS Score 3.1</w:t>
            </w:r>
          </w:p>
        </w:tc>
        <w:tc>
          <w:tcPr>
            <w:tcW w:w="6804" w:type="dxa"/>
            <w:vAlign w:val="center"/>
          </w:tcPr>
          <w:p w14:paraId="50A510C6">
            <w:pPr>
              <w:spacing w:after="0" w:line="240" w:lineRule="auto"/>
              <w:jc w:val="both"/>
              <w:rPr>
                <w:b/>
                <w:bCs/>
                <w:color w:val="FFC000"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color w:val="FFC000"/>
                <w:sz w:val="24"/>
                <w:szCs w:val="24"/>
                <w:lang w:val="en-US" w:eastAsia="en-US"/>
              </w:rPr>
              <w:t>Medium - 5.3</w:t>
            </w:r>
          </w:p>
          <w:p w14:paraId="1772E89C">
            <w:pPr>
              <w:spacing w:after="0" w:line="240" w:lineRule="auto"/>
              <w:jc w:val="both"/>
              <w:rPr>
                <w:rStyle w:val="6"/>
                <w:rFonts w:ascii="Calibri" w:hAnsi="Calibri" w:cs="Calibri"/>
                <w:b/>
                <w:bCs/>
                <w:color w:val="FFC000"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color w:val="FFC000"/>
                <w:sz w:val="24"/>
                <w:szCs w:val="24"/>
                <w:lang w:val="en-US" w:eastAsia="en-US"/>
              </w:rPr>
              <w:t>CVSS:3.1/AV:N/AC:L/PR:N/UI:N/S:U/C:L/I:N/A:N</w:t>
            </w:r>
          </w:p>
        </w:tc>
      </w:tr>
      <w:tr w14:paraId="73291185">
        <w:tblPrEx>
          <w:tblBorders>
            <w:top w:val="single" w:color="C6584D" w:sz="4" w:space="0"/>
            <w:left w:val="single" w:color="C6584D" w:sz="4" w:space="0"/>
            <w:bottom w:val="single" w:color="C6584D" w:sz="4" w:space="0"/>
            <w:right w:val="single" w:color="C6584D" w:sz="4" w:space="0"/>
            <w:insideH w:val="single" w:color="C6584D" w:sz="4" w:space="0"/>
            <w:insideV w:val="single" w:color="C6584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84" w:type="dxa"/>
            <w:shd w:val="clear" w:color="auto" w:fill="C6584D"/>
            <w:vAlign w:val="center"/>
          </w:tcPr>
          <w:p w14:paraId="2BD08B02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CWE-ID</w:t>
            </w:r>
          </w:p>
        </w:tc>
        <w:tc>
          <w:tcPr>
            <w:tcW w:w="6804" w:type="dxa"/>
            <w:vAlign w:val="center"/>
          </w:tcPr>
          <w:p w14:paraId="7A7199E0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FFC000"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color w:val="FFC000"/>
                <w:sz w:val="24"/>
                <w:szCs w:val="24"/>
                <w:lang w:val="en-US" w:eastAsia="en-US"/>
              </w:rPr>
              <w:t>CWE-444</w:t>
            </w:r>
          </w:p>
        </w:tc>
      </w:tr>
      <w:tr w14:paraId="35E6472B">
        <w:tblPrEx>
          <w:tblBorders>
            <w:top w:val="single" w:color="C6584D" w:sz="4" w:space="0"/>
            <w:left w:val="single" w:color="C6584D" w:sz="4" w:space="0"/>
            <w:bottom w:val="single" w:color="C6584D" w:sz="4" w:space="0"/>
            <w:right w:val="single" w:color="C6584D" w:sz="4" w:space="0"/>
            <w:insideH w:val="single" w:color="C6584D" w:sz="4" w:space="0"/>
            <w:insideV w:val="single" w:color="C6584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84" w:type="dxa"/>
            <w:shd w:val="clear" w:color="auto" w:fill="C6584D"/>
            <w:vAlign w:val="center"/>
          </w:tcPr>
          <w:p w14:paraId="099211EE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Vulnerability Explanation:</w:t>
            </w:r>
          </w:p>
        </w:tc>
        <w:tc>
          <w:tcPr>
            <w:tcW w:w="6804" w:type="dxa"/>
            <w:vAlign w:val="center"/>
          </w:tcPr>
          <w:p w14:paraId="43C69F9E">
            <w:pPr>
              <w:spacing w:after="0" w:line="240" w:lineRule="auto"/>
              <w:jc w:val="both"/>
              <w:rPr>
                <w:rStyle w:val="6"/>
                <w:rFonts w:ascii="Calibri" w:hAnsi="Calibri" w:cs="Calibri"/>
                <w:sz w:val="24"/>
                <w:szCs w:val="24"/>
                <w:lang w:val="en-US" w:eastAsia="en-US"/>
              </w:rPr>
            </w:pPr>
            <w:r>
              <w:rPr>
                <w:rStyle w:val="6"/>
                <w:rFonts w:ascii="Calibri" w:hAnsi="Calibri" w:cs="Calibri"/>
                <w:sz w:val="24"/>
                <w:szCs w:val="24"/>
                <w:lang w:val="en-US" w:eastAsia="en-US"/>
              </w:rPr>
              <w:t>HTTP Request Smuggling exploits inconsistencies in parsing HTTP requests between different servers (e.g., proxy and backend), allowing attackers to smuggle a malicious request within another.</w:t>
            </w:r>
          </w:p>
        </w:tc>
      </w:tr>
      <w:tr w14:paraId="52BA7E7A">
        <w:tblPrEx>
          <w:tblBorders>
            <w:top w:val="single" w:color="C6584D" w:sz="4" w:space="0"/>
            <w:left w:val="single" w:color="C6584D" w:sz="4" w:space="0"/>
            <w:bottom w:val="single" w:color="C6584D" w:sz="4" w:space="0"/>
            <w:right w:val="single" w:color="C6584D" w:sz="4" w:space="0"/>
            <w:insideH w:val="single" w:color="C6584D" w:sz="4" w:space="0"/>
            <w:insideV w:val="single" w:color="C6584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84" w:type="dxa"/>
            <w:shd w:val="clear" w:color="auto" w:fill="C6584D"/>
            <w:vAlign w:val="center"/>
          </w:tcPr>
          <w:p w14:paraId="5E44FD22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Vulnerability Impact:</w:t>
            </w:r>
          </w:p>
        </w:tc>
        <w:tc>
          <w:tcPr>
            <w:tcW w:w="6804" w:type="dxa"/>
            <w:vAlign w:val="center"/>
          </w:tcPr>
          <w:p w14:paraId="17AFEA41">
            <w:pPr>
              <w:spacing w:after="0" w:line="240" w:lineRule="auto"/>
              <w:jc w:val="both"/>
              <w:rPr>
                <w:rStyle w:val="6"/>
                <w:rFonts w:ascii="Calibri" w:hAnsi="Calibri" w:cs="Calibri"/>
                <w:sz w:val="24"/>
                <w:szCs w:val="24"/>
                <w:lang w:val="en-US" w:eastAsia="en-US"/>
              </w:rPr>
            </w:pPr>
            <w:r>
              <w:rPr>
                <w:rStyle w:val="6"/>
                <w:rFonts w:ascii="Calibri" w:hAnsi="Calibri" w:cs="Calibri"/>
                <w:sz w:val="24"/>
                <w:szCs w:val="24"/>
                <w:lang w:val="en-US" w:eastAsia="en-US"/>
              </w:rPr>
              <w:t>Can lead to bypassing security controls, cache poisoning, request spoofing, or even XSS. Attackers can hijack user sessions or manipulate requests sent to the backend.</w:t>
            </w:r>
          </w:p>
        </w:tc>
      </w:tr>
      <w:tr w14:paraId="030011E0">
        <w:tblPrEx>
          <w:tblBorders>
            <w:top w:val="single" w:color="C6584D" w:sz="4" w:space="0"/>
            <w:left w:val="single" w:color="C6584D" w:sz="4" w:space="0"/>
            <w:bottom w:val="single" w:color="C6584D" w:sz="4" w:space="0"/>
            <w:right w:val="single" w:color="C6584D" w:sz="4" w:space="0"/>
            <w:insideH w:val="single" w:color="C6584D" w:sz="4" w:space="0"/>
            <w:insideV w:val="single" w:color="C6584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84" w:type="dxa"/>
            <w:shd w:val="clear" w:color="auto" w:fill="C6584D"/>
            <w:vAlign w:val="center"/>
          </w:tcPr>
          <w:p w14:paraId="5792F75E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IN" w:eastAsia="en-US"/>
                <w14:textFill>
                  <w14:solidFill>
                    <w14:schemeClr w14:val="bg1"/>
                  </w14:solidFill>
                </w14:textFill>
              </w:rPr>
              <w:t>Remediation</w:t>
            </w:r>
          </w:p>
        </w:tc>
        <w:tc>
          <w:tcPr>
            <w:tcW w:w="6804" w:type="dxa"/>
            <w:vAlign w:val="center"/>
          </w:tcPr>
          <w:p w14:paraId="3C28C450">
            <w:pPr>
              <w:pStyle w:val="7"/>
              <w:numPr>
                <w:ilvl w:val="0"/>
                <w:numId w:val="1"/>
              </w:numPr>
              <w:spacing w:after="0" w:line="240" w:lineRule="auto"/>
              <w:jc w:val="both"/>
              <w:rPr>
                <w:rStyle w:val="6"/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6"/>
                <w:rFonts w:ascii="Calibri" w:hAnsi="Calibri" w:cs="Calibri"/>
                <w:sz w:val="24"/>
                <w:szCs w:val="24"/>
              </w:rPr>
              <w:t>Disable conflicting HTTP headers like Content-Length and Transfer-Encoding together. Patch and configure web servers correctly, and apply input validation and normalization.</w:t>
            </w:r>
          </w:p>
        </w:tc>
      </w:tr>
      <w:tr w14:paraId="70D023F8">
        <w:tblPrEx>
          <w:tblBorders>
            <w:top w:val="single" w:color="C6584D" w:sz="4" w:space="0"/>
            <w:left w:val="single" w:color="C6584D" w:sz="4" w:space="0"/>
            <w:bottom w:val="single" w:color="C6584D" w:sz="4" w:space="0"/>
            <w:right w:val="single" w:color="C6584D" w:sz="4" w:space="0"/>
            <w:insideH w:val="single" w:color="C6584D" w:sz="4" w:space="0"/>
            <w:insideV w:val="single" w:color="C6584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84" w:type="dxa"/>
            <w:shd w:val="clear" w:color="auto" w:fill="C6584D"/>
            <w:vAlign w:val="center"/>
          </w:tcPr>
          <w:p w14:paraId="34BA6590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  <w:lang w:val="en-IN" w:eastAsia="en-US"/>
                <w14:textFill>
                  <w14:solidFill>
                    <w14:schemeClr w14:val="bg1"/>
                  </w14:solidFill>
                </w14:textFill>
              </w:rPr>
              <w:t>Reference</w:t>
            </w:r>
          </w:p>
        </w:tc>
        <w:tc>
          <w:tcPr>
            <w:tcW w:w="6804" w:type="dxa"/>
            <w:vAlign w:val="center"/>
          </w:tcPr>
          <w:p w14:paraId="6DD71F14">
            <w:pPr>
              <w:spacing w:after="0" w:line="240" w:lineRule="auto"/>
              <w:jc w:val="both"/>
              <w:rPr>
                <w:rStyle w:val="6"/>
                <w:rFonts w:ascii="Calibri" w:hAnsi="Calibri" w:cs="Calibri"/>
                <w:sz w:val="24"/>
                <w:szCs w:val="24"/>
                <w:lang w:val="en-US" w:eastAsia="en-US"/>
              </w:rPr>
            </w:pPr>
            <w:r>
              <w:rPr>
                <w:rStyle w:val="6"/>
                <w:rFonts w:ascii="Calibri" w:hAnsi="Calibri" w:cs="Calibri"/>
                <w:sz w:val="24"/>
                <w:szCs w:val="24"/>
                <w:lang w:val="en-US" w:eastAsia="en-US"/>
              </w:rPr>
              <w:t>https://portswigger.net/web-security/request-smuggling</w:t>
            </w:r>
          </w:p>
        </w:tc>
      </w:tr>
    </w:tbl>
    <w:p w14:paraId="124A8C9C">
      <w:bookmarkStart w:id="1" w:name="_GoBack"/>
      <w:bookmarkEnd w:id="1"/>
    </w:p>
    <w:p w14:paraId="68C3A55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Steps to Reproduce &amp; Proof of Concept:</w:t>
      </w:r>
    </w:p>
    <w:p w14:paraId="3FDF97D8">
      <w:pPr>
        <w:pStyle w:val="7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4"/>
          <w:szCs w:val="24"/>
        </w:rPr>
        <w:t>Navigate to the target URL and capture the HTTP request using Burp Suite or a proxy tool.</w:t>
      </w:r>
    </w:p>
    <w:p w14:paraId="50145925">
      <w:pPr>
        <w:pStyle w:val="7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4"/>
          <w:szCs w:val="24"/>
        </w:rPr>
        <w:t>Observe that the application supports both HTTP/1.1 and HTTP/2 protocols.</w:t>
      </w:r>
    </w:p>
    <w:p w14:paraId="6B4BC1C7">
      <w:pPr>
        <w:pStyle w:val="7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4"/>
          <w:szCs w:val="24"/>
        </w:rPr>
        <w:t>Downgrade the connection from HTTP/2 to HTTP/1.1 to perform the smuggling test.</w:t>
      </w:r>
    </w:p>
    <w:p w14:paraId="5EF9598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5F6411"/>
    <w:multiLevelType w:val="multilevel"/>
    <w:tmpl w:val="1A5F64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54CA2"/>
    <w:multiLevelType w:val="multilevel"/>
    <w:tmpl w:val="7BE54C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14423"/>
    <w:rsid w:val="4B01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Light List Accent 2"/>
    <w:basedOn w:val="4"/>
    <w:qFormat/>
    <w:uiPriority w:val="61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D7D31" w:themeFill="accent2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character" w:customStyle="1" w:styleId="6">
    <w:name w:val="hgkelc"/>
    <w:basedOn w:val="3"/>
    <w:qFormat/>
    <w:uiPriority w:val="0"/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2025-07-25T14:51:00Z</dcterms:created>
  <dc:creator>TD1314</dc:creator>
  <cp:lastModifiedBy>TD1314</cp:lastModifiedBy>
  <dcterms:modified xsi:type="dcterms:W3CDTF">2025-07-25T14:52:45Z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4FF256F66B994708993D42B7785CD851_11</vt:lpwstr>
  </property>
</Properties>
</file>