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pStyle w:val="COEPSKicker"/>
      </w:pPr>
      <w:r>
        <w:t>COEPS  |  PLANO TÉCNICO CONSOLIDADO</w:t>
      </w:r>
    </w:p>
    <w:p>
      <w:pPr>
        <w:pStyle w:val="Title"/>
      </w:pPr>
      <w:r>
        <w:t>Plano de implementação de códigos de desconto e rastreio</w:t>
      </w:r>
    </w:p>
    <w:p>
      <w:pPr>
        <w:pStyle w:val="COEPSSubtitle"/>
        <w:keepNext/>
      </w:pPr>
      <w:r>
        <w:t>Arquitetura, fluxo de pagamento, gestão administrativa, retenção e implantação</w:t>
      </w:r>
    </w:p>
    <w:p>
      <w:pPr>
        <w:pStyle w:val="COEPSMetadata"/>
      </w:pPr>
      <w:r>
        <w:rPr>
          <w:b/>
          <w:color w:val="0B2545"/>
        </w:rPr>
        <w:t xml:space="preserve">Sistemas: </w:t>
      </w:r>
      <w:r>
        <w:t>coeps-site e coeps-site-admin</w:t>
      </w:r>
    </w:p>
    <w:p>
      <w:pPr>
        <w:pStyle w:val="COEPSMetadata"/>
      </w:pPr>
      <w:r>
        <w:rPr>
          <w:b/>
          <w:color w:val="0B2545"/>
        </w:rPr>
        <w:t xml:space="preserve">Branches auditadas: </w:t>
      </w:r>
      <w:r>
        <w:t>front-panel-e-pagamentos e integracao</w:t>
      </w:r>
    </w:p>
    <w:p>
      <w:pPr>
        <w:pStyle w:val="COEPSMetadata"/>
      </w:pPr>
      <w:r>
        <w:rPr>
          <w:b/>
          <w:color w:val="0B2545"/>
        </w:rPr>
        <w:t xml:space="preserve">Status: </w:t>
      </w:r>
      <w:r>
        <w:t>Proposta consolidada — aguardando autorização de execução</w:t>
      </w:r>
    </w:p>
    <w:p>
      <w:pPr>
        <w:pStyle w:val="COEPSMetadata"/>
      </w:pPr>
      <w:r>
        <w:rPr>
          <w:b/>
          <w:color w:val="0B2545"/>
        </w:rPr>
        <w:t xml:space="preserve">Data: </w:t>
      </w:r>
      <w:r>
        <w:t>30 de julho de 2026</w:t>
      </w:r>
    </w:p>
    <w:p>
      <w:pPr>
        <w:pStyle w:val="COEPSCallout"/>
        <w:spacing w:before="280" w:after="240"/>
        <w:shd w:fill="E8EEF5"/>
        <w:pBdr>
          <w:top w:val="single" w:sz="4" w:space="5" w:color="C7D1DC"/>
          <w:left w:val="single" w:sz="4" w:space="5" w:color="C7D1DC"/>
          <w:bottom w:val="single" w:sz="4" w:space="5" w:color="C7D1DC"/>
          <w:right w:val="single" w:sz="4" w:space="5" w:color="C7D1DC"/>
        </w:pBdr>
      </w:pPr>
      <w:r>
        <w:rPr>
          <w:rFonts w:ascii="Calibri" w:hAnsi="Calibri" w:eastAsia="Calibri"/>
          <w:b/>
          <w:color w:val="1F3A5F"/>
          <w:sz w:val="22"/>
        </w:rPr>
        <w:t xml:space="preserve">Resultado esperado. </w:t>
      </w:r>
      <w:r>
        <w:t>Códigos de desconto gerados pelo servidor, com percentual próprio e uso único global; códigos de rastreio reutilizáveis por parceiro; contagem confiável por compra confirmada; e limpeza manual do histórico após um ano, sempre limitada à edição selecionada.</w:t>
      </w:r>
    </w:p>
    <w:p>
      <w:pPr>
        <w:pStyle w:val="Heading1"/>
        <w:keepNext/>
        <w:keepLines/>
      </w:pPr>
      <w:r>
        <w:t>Resumo executivo</w:t>
      </w:r>
    </w:p>
    <w:p>
      <w:pPr>
        <w:pStyle w:val="COEPSBody"/>
      </w:pPr>
      <w:r>
        <w:t>O sistema atual não possui cupom promocional nem relação entre código e compra. Os dois aplicativos acessam diretamente o mesmo MongoDB e persistem pagamentos de formas diferentes: o PIX automático usa pagamentos.sessoes, enquanto cartão e modo manual usam usuarios.pagamento.lista_pagamentos. A solução proposta cria um catálogo de códigos e um ledger por compra, evitando depender dessas representações assimétricas.</w:t>
      </w:r>
    </w:p>
    <w:p>
      <w:pPr>
        <w:pStyle w:val="COEPSCallout"/>
        <w:spacing w:before="80"/>
        <w:ind w:left="115" w:right="115"/>
        <w:shd w:fill="E8EEF5"/>
        <w:pBdr>
          <w:top w:val="single" w:sz="4" w:space="5" w:color="C7D1DC"/>
          <w:left w:val="single" w:sz="4" w:space="5" w:color="C7D1DC"/>
          <w:bottom w:val="single" w:sz="4" w:space="5" w:color="C7D1DC"/>
          <w:right w:val="single" w:sz="4" w:space="5" w:color="C7D1DC"/>
        </w:pBdr>
      </w:pPr>
      <w:r>
        <w:rPr>
          <w:rFonts w:ascii="Calibri" w:hAnsi="Calibri" w:eastAsia="Calibri"/>
          <w:b/>
          <w:color w:val="1F3A5F"/>
        </w:rPr>
        <w:t xml:space="preserve">Decisão central: </w:t>
      </w:r>
      <w:r>
        <w:t>um código de desconto só pode beneficiar uma compra no total. Ele é reservado de forma atômica, consumido na confirmação e removido do catálogo ativo. O uso mínimo permanece no histórico da compra por um ano.</w:t>
      </w:r>
    </w:p>
    <w:p>
      <w:pPr>
        <w:pStyle w:val="Heading2"/>
        <w:keepNext/>
        <w:keepLines/>
      </w:pPr>
      <w:r>
        <w:t>Decisões funcionais consolidadas</w:t>
      </w:r>
    </w:p>
    <w:p>
      <w:pPr>
        <w:numPr>
          <w:ilvl w:val="0"/>
          <w:numId w:val="10"/>
        </w:numPr>
        <w:pStyle w:val="COEPSList"/>
      </w:pPr>
      <w:r>
        <w:t>Cada desconto é um novo código gerado pelo servidor; não haverá reutilização.</w:t>
      </w:r>
    </w:p>
    <w:p>
      <w:pPr>
        <w:numPr>
          <w:ilvl w:val="0"/>
          <w:numId w:val="10"/>
        </w:numPr>
        <w:pStyle w:val="COEPSList"/>
      </w:pPr>
      <w:r>
        <w:t>Cada código define seu próprio percentual, que não muda após a emissão.</w:t>
      </w:r>
    </w:p>
    <w:p>
      <w:pPr>
        <w:numPr>
          <w:ilvl w:val="0"/>
          <w:numId w:val="10"/>
        </w:numPr>
        <w:pStyle w:val="COEPSList"/>
      </w:pPr>
      <w:r>
        <w:t>O desconto é de uso único global, e não de um uso por usuário.</w:t>
      </w:r>
    </w:p>
    <w:p>
      <w:pPr>
        <w:numPr>
          <w:ilvl w:val="0"/>
          <w:numId w:val="10"/>
        </w:numPr>
        <w:pStyle w:val="COEPSList"/>
      </w:pPr>
      <w:r>
        <w:t>Um desconto e um rastreio podem coexistir na mesma inscrição.</w:t>
      </w:r>
    </w:p>
    <w:p>
      <w:pPr>
        <w:numPr>
          <w:ilvl w:val="0"/>
          <w:numId w:val="10"/>
        </w:numPr>
        <w:pStyle w:val="COEPSList"/>
      </w:pPr>
      <w:r>
        <w:t>Rastreio é reutilizável, associado a uma pessoa e nunca altera o preço.</w:t>
      </w:r>
    </w:p>
    <w:p>
      <w:pPr>
        <w:numPr>
          <w:ilvl w:val="0"/>
          <w:numId w:val="10"/>
        </w:numPr>
        <w:pStyle w:val="COEPSList"/>
      </w:pPr>
      <w:r>
        <w:t>Código confirmado é removido de pagamentos.codigos, mas a atribuição mínima permanece.</w:t>
      </w:r>
    </w:p>
    <w:p>
      <w:pPr>
        <w:numPr>
          <w:ilvl w:val="0"/>
          <w:numId w:val="10"/>
        </w:numPr>
        <w:pStyle w:val="COEPSList"/>
      </w:pPr>
      <w:r>
        <w:t>Sessão expirada sem cobrança externa libera o desconto; cobrança externa só libera após estado terminal.</w:t>
      </w:r>
    </w:p>
    <w:p>
      <w:pPr>
        <w:numPr>
          <w:ilvl w:val="0"/>
          <w:numId w:val="10"/>
        </w:numPr>
        <w:pStyle w:val="COEPSList"/>
      </w:pPr>
      <w:r>
        <w:t>Estorno deixa de contar como venda confirmada, mas não reativa o desconto.</w:t>
      </w:r>
    </w:p>
    <w:p>
      <w:pPr>
        <w:numPr>
          <w:ilvl w:val="0"/>
          <w:numId w:val="10"/>
        </w:numPr>
        <w:pStyle w:val="COEPSList"/>
      </w:pPr>
      <w:r>
        <w:t>Desconto de 100% fica fora da primeira versão.</w:t>
      </w:r>
    </w:p>
    <w:p>
      <w:pPr>
        <w:numPr>
          <w:ilvl w:val="0"/>
          <w:numId w:val="10"/>
        </w:numPr>
        <w:pStyle w:val="COEPSList"/>
      </w:pPr>
      <w:r>
        <w:t>A limpeza histórica é manual, por edição, após um ano.</w:t>
      </w:r>
    </w:p>
    <w:p>
      <w:pPr>
        <w:numPr>
          <w:ilvl w:val="0"/>
          <w:numId w:val="10"/>
        </w:numPr>
        <w:pStyle w:val="COEPSList"/>
      </w:pPr>
      <w:r>
        <w:t>Não haverá atribuição retroativa de códigos a compras antigas.</w:t>
      </w:r>
    </w:p>
    <w:p>
      <w:pPr>
        <w:pStyle w:val="Heading1"/>
        <w:keepNext/>
        <w:keepLines/>
      </w:pPr>
      <w:r>
        <w:t>Arquitetura atual relevante</w:t>
      </w:r>
    </w:p>
    <w:p>
      <w:pPr>
        <w:pStyle w:val="Heading2"/>
        <w:keepNext/>
        <w:keepLines/>
      </w:pPr>
      <w:r>
        <w:t>coeps-site</w:t>
      </w:r>
    </w:p>
    <w:p>
      <w:pPr>
        <w:pStyle w:val="COEPSBody"/>
      </w:pPr>
      <w:r>
        <w:t>O site usa Next.js App Router, Auth0 e o driver nativo do MongoDB, sem ORM ou mecanismo de migrations. A rota /pagamentos carrega o estado de usuarios.pagamento e a configuração de ingressos_config. Se o usuário já estiver pago, apresenta o histórico; caso contrário, seleciona o fluxo automático ou manual pelo campo modo.</w:t>
      </w:r>
    </w:p>
    <w:p>
      <w:pPr>
        <w:numPr>
          <w:ilvl w:val="0"/>
          <w:numId w:val="10"/>
        </w:numPr>
        <w:pStyle w:val="COEPSList"/>
      </w:pPr>
      <w:r>
        <w:t>Automático: cria uma reserva em pagamentos.sessoes e integra PIX/cartão com o Asaas.</w:t>
      </w:r>
    </w:p>
    <w:p>
      <w:pPr>
        <w:numPr>
          <w:ilvl w:val="0"/>
          <w:numId w:val="10"/>
        </w:numPr>
        <w:pStyle w:val="COEPSList"/>
      </w:pPr>
      <w:r>
        <w:t>Manual: continua ativo por paginaPagamentoAntigo.tsx e cria cobranças diretamente.</w:t>
      </w:r>
    </w:p>
    <w:p>
      <w:pPr>
        <w:numPr>
          <w:ilvl w:val="0"/>
          <w:numId w:val="10"/>
        </w:numPr>
        <w:pStyle w:val="COEPSList"/>
      </w:pPr>
      <w:r>
        <w:t>Confirmação: ocorre pelo webhook payment_notification.</w:t>
      </w:r>
    </w:p>
    <w:p>
      <w:pPr>
        <w:numPr>
          <w:ilvl w:val="0"/>
          <w:numId w:val="10"/>
        </w:numPr>
        <w:pStyle w:val="COEPSList"/>
      </w:pPr>
      <w:r>
        <w:t>Inscrição principal: é representada por usuarios.pagamento.situacao, não por entidade separada.</w:t>
      </w:r>
    </w:p>
    <w:p>
      <w:pPr>
        <w:pStyle w:val="Heading2"/>
        <w:keepNext/>
        <w:keepLines/>
      </w:pPr>
      <w:r>
        <w:t>coeps-site-admin</w:t>
      </w:r>
    </w:p>
    <w:p>
      <w:pPr>
        <w:pStyle w:val="COEPSBody"/>
      </w:pPr>
      <w:r>
        <w:t>O painel administrativo não consome uma API do site; ele consulta o mesmo MongoDB. A tela financeira carrega ingressos_config, lista usuários com pagamento.situacao igual a 1 e permite editar preços e parcelamentos. Não existe tela, API, tipo ou coleção para cupons e rastreio.</w:t>
      </w:r>
    </w:p>
    <w:p>
      <w:pPr>
        <w:pStyle w:val="COEPSCallout"/>
        <w:spacing w:before="80"/>
        <w:ind w:left="115" w:right="115"/>
        <w:shd w:fill="FCE8E6"/>
        <w:pBdr>
          <w:top w:val="single" w:sz="4" w:space="5" w:color="C7D1DC"/>
          <w:left w:val="single" w:sz="4" w:space="5" w:color="C7D1DC"/>
          <w:bottom w:val="single" w:sz="4" w:space="5" w:color="C7D1DC"/>
          <w:right w:val="single" w:sz="4" w:space="5" w:color="C7D1DC"/>
        </w:pBdr>
      </w:pPr>
      <w:r>
        <w:rPr>
          <w:rFonts w:ascii="Calibri" w:hAnsi="Calibri" w:eastAsia="Calibri"/>
          <w:b/>
          <w:color w:val="9B1C1C"/>
        </w:rPr>
        <w:t xml:space="preserve">Lacuna atual: </w:t>
      </w:r>
      <w:r>
        <w:t>o site conhece modo e lotes automáticos, mas o contrato do admin ainda representa apenas a configuração manual. Essa defasagem deve ser corrigida durante a entrega.</w:t>
      </w:r>
    </w:p>
    <w:p>
      <w:pPr>
        <w:pStyle w:val="Heading2"/>
        <w:keepNext/>
        <w:keepLines/>
      </w:pPr>
      <w:r>
        <w:t>Coleções e contratos existentes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1900"/>
        <w:gridCol w:w="3350"/>
        <w:gridCol w:w="411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Coleção/contrato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Uso atual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Limitação para códigos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usuarios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Cadastro, cliente Asaas e estado global da inscrição.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Código no usuário não identifica corretamente qual compra o utilizou.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ingressos_config</w:t>
            </w:r>
          </w:p>
        </w:tc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Preços, métodos e lotes.</w:t>
            </w:r>
          </w:p>
        </w:tc>
        <w:tc>
          <w:tcPr>
            <w:tcW w:type="dxa" w:w="41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Não deve receber pessoas, códigos e histórico no mesmo documento.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pagamentos.sessoes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Reserva automática e checkout PIX.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Não cobre de forma uniforme o modo manual e o cartão existente.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lista_pagamentos[]</w:t>
            </w:r>
          </w:p>
        </w:tc>
        <w:tc>
          <w:tcPr>
            <w:tcW w:type="dxa" w:w="3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Cobranças Asaas de cartão e modo manual.</w:t>
            </w:r>
          </w:p>
        </w:tc>
        <w:tc>
          <w:tcPr>
            <w:tcW w:type="dxa" w:w="41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PIX automático confirmado não gera item nesse histórico.</w:t>
            </w:r>
          </w:p>
        </w:tc>
      </w:tr>
    </w:tbl>
    <w:p>
      <w:pPr>
        <w:spacing w:before="0" w:after="60"/>
      </w:pPr>
    </w:p>
    <w:p>
      <w:pPr>
        <w:pStyle w:val="Heading2"/>
        <w:keepNext/>
        <w:keepLines/>
      </w:pPr>
      <w:r>
        <w:t>Problemas atuais que afetam a solução</w:t>
      </w:r>
    </w:p>
    <w:p>
      <w:pPr>
        <w:numPr>
          <w:ilvl w:val="0"/>
          <w:numId w:val="10"/>
        </w:numPr>
        <w:pStyle w:val="COEPSList"/>
      </w:pPr>
      <w:r>
        <w:t>A sessão automática cria um checkout PIX antes da escolha e depois ainda oferece cartão, permitindo duas cobranças externas.</w:t>
      </w:r>
    </w:p>
    <w:p>
      <w:pPr>
        <w:numPr>
          <w:ilvl w:val="0"/>
          <w:numId w:val="10"/>
        </w:numPr>
        <w:pStyle w:val="COEPSList"/>
      </w:pPr>
      <w:r>
        <w:t>Há estados divergentes: PENDENTE, PENDING e UNPAID.</w:t>
      </w:r>
    </w:p>
    <w:p>
      <w:pPr>
        <w:numPr>
          <w:ilvl w:val="0"/>
          <w:numId w:val="10"/>
        </w:numPr>
        <w:pStyle w:val="COEPSList"/>
      </w:pPr>
      <w:r>
        <w:t>O cartão valida uma sessão por ID e depois busca outra sessão ativa do usuário.</w:t>
      </w:r>
    </w:p>
    <w:p>
      <w:pPr>
        <w:numPr>
          <w:ilvl w:val="0"/>
          <w:numId w:val="10"/>
        </w:numPr>
        <w:pStyle w:val="COEPSList"/>
      </w:pPr>
      <w:r>
        <w:t>PIX e cartão persistem históricos diferentes.</w:t>
      </w:r>
    </w:p>
    <w:p>
      <w:pPr>
        <w:numPr>
          <w:ilvl w:val="0"/>
          <w:numId w:val="10"/>
        </w:numPr>
        <w:pStyle w:val="COEPSList"/>
      </w:pPr>
      <w:r>
        <w:t>O webhook não mostra validação de token/assinatura nem idempotência confiável.</w:t>
      </w:r>
    </w:p>
    <w:p>
      <w:pPr>
        <w:numPr>
          <w:ilvl w:val="0"/>
          <w:numId w:val="10"/>
        </w:numPr>
        <w:pStyle w:val="COEPSList"/>
      </w:pPr>
      <w:r>
        <w:t>O webhook responde HTTP 200 mesmo em algumas falhas, reduzindo a chance de retry.</w:t>
      </w:r>
    </w:p>
    <w:p>
      <w:pPr>
        <w:numPr>
          <w:ilvl w:val="0"/>
          <w:numId w:val="10"/>
        </w:numPr>
        <w:pStyle w:val="COEPSList"/>
      </w:pPr>
      <w:r>
        <w:t>Payloads completos de webhook são acumulados dentro dos pagamentos e consomem mais espaço que os códigos.</w:t>
      </w:r>
    </w:p>
    <w:p>
      <w:pPr>
        <w:numPr>
          <w:ilvl w:val="0"/>
          <w:numId w:val="10"/>
        </w:numPr>
        <w:pStyle w:val="COEPSList"/>
      </w:pPr>
      <w:r>
        <w:t>A configuração de ingresso depende de um ObjectId hardcoded em vários pontos.</w:t>
      </w:r>
    </w:p>
    <w:p>
      <w:r>
        <w:br w:type="page"/>
      </w:r>
    </w:p>
    <w:p>
      <w:pPr>
        <w:pStyle w:val="Heading1"/>
        <w:keepNext/>
        <w:keepLines/>
      </w:pPr>
      <w:r>
        <w:t>Arquitetura de destino</w:t>
      </w:r>
    </w:p>
    <w:p>
      <w:pPr>
        <w:pStyle w:val="Heading2"/>
        <w:keepNext/>
        <w:keepLines/>
      </w:pPr>
      <w:r>
        <w:t>Identificação da edição</w:t>
      </w:r>
    </w:p>
    <w:p>
      <w:pPr>
        <w:pStyle w:val="COEPSBody"/>
      </w:pPr>
      <w:r>
        <w:t>Cada documento novo carregará edicaoId, por exemplo COEPS-2026. A edição separa códigos, relatórios, retenção e limpeza. Códigos descartáveis recebem prefixo da edição, como C26-H7K9-Q2PX, reduzindo ambiguidade entre congressos.</w:t>
      </w:r>
    </w:p>
    <w:p>
      <w:pPr>
        <w:pStyle w:val="COEPSCode"/>
        <w:spacing w:before="80"/>
        <w:ind w:left="173" w:right="173"/>
        <w:shd w:fill="F7F8FA"/>
        <w:pBdr>
          <w:top w:val="single" w:sz="4" w:space="5" w:color="D8DEE6"/>
          <w:left w:val="single" w:sz="4" w:space="5" w:color="D8DEE6"/>
          <w:bottom w:val="single" w:sz="4" w:space="5" w:color="D8DEE6"/>
          <w:right w:val="single" w:sz="4" w:space="5" w:color="D8DEE6"/>
        </w:pBdr>
      </w:pPr>
      <w:r>
        <w:t>{</w:t>
      </w:r>
      <w:r>
        <w:br/>
      </w:r>
      <w:r>
        <w:t xml:space="preserve">  edicaoId: "COEPS-2026",</w:t>
      </w:r>
      <w:r>
        <w:br/>
      </w:r>
      <w:r>
        <w:t xml:space="preserve">  nome: "VIII COEPS",</w:t>
      </w:r>
      <w:r>
        <w:br/>
      </w:r>
      <w:r>
        <w:t xml:space="preserve">  dataInicio: Date,</w:t>
      </w:r>
      <w:r>
        <w:br/>
      </w:r>
      <w:r>
        <w:t xml:space="preserve">  dataFim: Date</w:t>
      </w:r>
      <w:r>
        <w:br/>
      </w:r>
      <w:r>
        <w:t>}</w:t>
      </w:r>
    </w:p>
    <w:p>
      <w:pPr>
        <w:pStyle w:val="Heading2"/>
        <w:keepNext/>
        <w:keepLines/>
      </w:pPr>
      <w:r>
        <w:t>Catálogo: pagamentos.codigos</w:t>
      </w:r>
    </w:p>
    <w:p>
      <w:pPr>
        <w:pStyle w:val="COEPSBody"/>
      </w:pPr>
      <w:r>
        <w:t>A coleção guarda apenas códigos disponíveis ou reservados e rastreios ativos. Descontos usados deixam o catálogo após a confirmação.</w:t>
      </w:r>
    </w:p>
    <w:p>
      <w:pPr>
        <w:pStyle w:val="COEPSCode"/>
        <w:spacing w:before="80"/>
        <w:ind w:left="173" w:right="173"/>
        <w:shd w:fill="F7F8FA"/>
        <w:pBdr>
          <w:top w:val="single" w:sz="4" w:space="5" w:color="D8DEE6"/>
          <w:left w:val="single" w:sz="4" w:space="5" w:color="D8DEE6"/>
          <w:bottom w:val="single" w:sz="4" w:space="5" w:color="D8DEE6"/>
          <w:right w:val="single" w:sz="4" w:space="5" w:color="D8DEE6"/>
        </w:pBdr>
      </w:pPr>
      <w:r>
        <w:t>{</w:t>
      </w:r>
      <w:r>
        <w:br/>
      </w:r>
      <w:r>
        <w:t xml:space="preserve">  _id: ObjectId,</w:t>
      </w:r>
      <w:r>
        <w:br/>
      </w:r>
      <w:r>
        <w:t xml:space="preserve">  edicaoId: "COEPS-2026",</w:t>
      </w:r>
      <w:r>
        <w:br/>
      </w:r>
      <w:r>
        <w:t xml:space="preserve">  codigoNormalizado: "C26-H7K9-Q2PX",</w:t>
      </w:r>
      <w:r>
        <w:br/>
      </w:r>
      <w:r>
        <w:t xml:space="preserve">  tipo: "DESCONTO" | "RASTREIO",</w:t>
      </w:r>
      <w:r>
        <w:br/>
      </w:r>
      <w:r>
        <w:t xml:space="preserve">  ativo: true,</w:t>
      </w:r>
      <w:r>
        <w:br/>
      </w:r>
      <w:r>
        <w:t xml:space="preserve">  desconto?: { modalidade: "PERCENTUAL", percentual: 15 },</w:t>
      </w:r>
      <w:r>
        <w:br/>
      </w:r>
      <w:r>
        <w:t xml:space="preserve">  responsavel?: { nome: string, email?: string },</w:t>
      </w:r>
      <w:r>
        <w:br/>
      </w:r>
      <w:r>
        <w:t xml:space="preserve">  usoUnico?: { estado: "DISPONIVEL" | "RESERVADO", reservadoPorCompraId?: ObjectId, reservadoAte?: Date },</w:t>
      </w:r>
      <w:r>
        <w:br/>
      </w:r>
      <w:r>
        <w:t xml:space="preserve">  validoDe?: Date,</w:t>
      </w:r>
      <w:r>
        <w:br/>
      </w:r>
      <w:r>
        <w:t xml:space="preserve">  validoAte?: Date,</w:t>
      </w:r>
      <w:r>
        <w:br/>
      </w:r>
      <w:r>
        <w:t xml:space="preserve">  createdAt: Date,</w:t>
      </w:r>
      <w:r>
        <w:br/>
      </w:r>
      <w:r>
        <w:t xml:space="preserve">  updatedAt: Date</w:t>
      </w:r>
      <w:r>
        <w:br/>
      </w:r>
      <w:r>
        <w:t>}</w:t>
      </w:r>
    </w:p>
    <w:p>
      <w:pPr>
        <w:pStyle w:val="Heading2"/>
        <w:keepNext/>
        <w:keepLines/>
      </w:pPr>
      <w:r>
        <w:t>Ledger: pagamentos.atribuicoes</w:t>
      </w:r>
    </w:p>
    <w:p>
      <w:pPr>
        <w:pStyle w:val="COEPSBody"/>
      </w:pPr>
      <w:r>
        <w:t>A coleção representa uma compra interna e se torna a fonte canônica de contagem por código. Ela permite um desconto e um rastreio na mesma compra, independentemente do meio de pagamento.</w:t>
      </w:r>
    </w:p>
    <w:p>
      <w:pPr>
        <w:pStyle w:val="COEPSCode"/>
        <w:spacing w:before="80"/>
        <w:ind w:left="173" w:right="173"/>
        <w:shd w:fill="F7F8FA"/>
        <w:pBdr>
          <w:top w:val="single" w:sz="4" w:space="5" w:color="D8DEE6"/>
          <w:left w:val="single" w:sz="4" w:space="5" w:color="D8DEE6"/>
          <w:bottom w:val="single" w:sz="4" w:space="5" w:color="D8DEE6"/>
          <w:right w:val="single" w:sz="4" w:space="5" w:color="D8DEE6"/>
        </w:pBdr>
      </w:pPr>
      <w:r>
        <w:t>{</w:t>
      </w:r>
      <w:r>
        <w:br/>
      </w:r>
      <w:r>
        <w:t xml:space="preserve">  _id: ObjectId, // purchaseId</w:t>
      </w:r>
      <w:r>
        <w:br/>
      </w:r>
      <w:r>
        <w:t xml:space="preserve">  edicaoId: string,</w:t>
      </w:r>
      <w:r>
        <w:br/>
      </w:r>
      <w:r>
        <w:t xml:space="preserve">  usuarioId: ObjectId,</w:t>
      </w:r>
      <w:r>
        <w:br/>
      </w:r>
      <w:r>
        <w:t xml:space="preserve">  status: "OPEN" | "PAYMENT_PENDING" | "CONFIRMED" | "EXPIRED" | "CANCELLED" | "REFUNDED",</w:t>
      </w:r>
      <w:r>
        <w:br/>
      </w:r>
      <w:r>
        <w:t xml:space="preserve">  codigoDesconto?: { codigoId: ObjectId, codigo: string, percentual: number },</w:t>
      </w:r>
      <w:r>
        <w:br/>
      </w:r>
      <w:r>
        <w:t xml:space="preserve">  codigoRastreio?: { codigoId: ObjectId, codigo: string, responsavel: { nome: string } },</w:t>
      </w:r>
      <w:r>
        <w:br/>
      </w:r>
      <w:r>
        <w:t xml:space="preserve">  valoresCentavos: { original: number, desconto: number, final: number },</w:t>
      </w:r>
      <w:r>
        <w:br/>
      </w:r>
      <w:r>
        <w:t xml:space="preserve">  pagamento: { metodo?: string, checkoutId?: string, paymentId?: string, invoiceNumber?: string },</w:t>
      </w:r>
      <w:r>
        <w:br/>
      </w:r>
      <w:r>
        <w:t xml:space="preserve">  createdAt: Date,</w:t>
      </w:r>
      <w:r>
        <w:br/>
      </w:r>
      <w:r>
        <w:t xml:space="preserve">  confirmedAt?: Date,</w:t>
      </w:r>
      <w:r>
        <w:br/>
      </w:r>
      <w:r>
        <w:t xml:space="preserve">  updatedAt: Date</w:t>
      </w:r>
      <w:r>
        <w:br/>
      </w:r>
      <w:r>
        <w:t>}</w:t>
      </w:r>
    </w:p>
    <w:p>
      <w:pPr>
        <w:pStyle w:val="Heading2"/>
        <w:keepNext/>
        <w:keepLines/>
      </w:pPr>
      <w:r>
        <w:t>Ciclo do desconto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Estado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Quando ocorre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Comportamento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Disponível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Código recém-gerado ou liberado.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Pode ser reservado por uma compra.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Reservado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Sessão interna criada de forma atômica.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Nenhuma outra compra pode utilizá-lo.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Usado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Pagamento confirmado pelo webhook.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Sai do catálogo e permanece apenas na atribuição mínima.</w:t>
            </w:r>
          </w:p>
        </w:tc>
      </w:tr>
      <w:t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Liberado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Sessão sem cobrança expirou ou cobrança terminou sem pagamento.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Volta a ficar disponível, se ainda estiver válido.</w:t>
            </w:r>
          </w:p>
        </w:tc>
      </w:tr>
    </w:tbl>
    <w:p>
      <w:pPr>
        <w:spacing w:before="0" w:after="60"/>
      </w:pPr>
    </w:p>
    <w:p>
      <w:pPr>
        <w:pStyle w:val="COEPSCallout"/>
        <w:spacing w:before="80"/>
        <w:ind w:left="115" w:right="115"/>
        <w:shd w:fill="FCE8E6"/>
        <w:pBdr>
          <w:top w:val="single" w:sz="4" w:space="5" w:color="C7D1DC"/>
          <w:left w:val="single" w:sz="4" w:space="5" w:color="C7D1DC"/>
          <w:bottom w:val="single" w:sz="4" w:space="5" w:color="C7D1DC"/>
          <w:right w:val="single" w:sz="4" w:space="5" w:color="C7D1DC"/>
        </w:pBdr>
      </w:pPr>
      <w:r>
        <w:rPr>
          <w:rFonts w:ascii="Calibri" w:hAnsi="Calibri" w:eastAsia="Calibri"/>
          <w:b/>
          <w:color w:val="9B1C1C"/>
        </w:rPr>
        <w:t xml:space="preserve">Regra de segurança: </w:t>
      </w:r>
      <w:r>
        <w:t>uma cobrança externa pendente não libera o código apenas porque o relógio local venceu. A liberação exige cancelamento, expiração ou recusa confirmada pelo provedor.</w:t>
      </w:r>
    </w:p>
    <w:p>
      <w:pPr>
        <w:pStyle w:val="Heading1"/>
        <w:keepNext/>
        <w:keepLines/>
      </w:pPr>
      <w:r>
        <w:t>Comportamento funcional</w:t>
      </w:r>
    </w:p>
    <w:p>
      <w:pPr>
        <w:pStyle w:val="Heading2"/>
        <w:keepNext/>
        <w:keepLines/>
      </w:pPr>
      <w:r>
        <w:t>Geração de desconto</w:t>
      </w:r>
    </w:p>
    <w:p>
      <w:pPr>
        <w:numPr>
          <w:ilvl w:val="0"/>
          <w:numId w:val="11"/>
        </w:numPr>
        <w:pStyle w:val="COEPSList"/>
      </w:pPr>
      <w:r>
        <w:t>Administrador seleciona a edição e informa o percentual.</w:t>
      </w:r>
    </w:p>
    <w:p>
      <w:pPr>
        <w:numPr>
          <w:ilvl w:val="0"/>
          <w:numId w:val="11"/>
        </w:numPr>
        <w:pStyle w:val="COEPSList"/>
      </w:pPr>
      <w:r>
        <w:t>Servidor valida permissão e intervalo permitido.</w:t>
      </w:r>
    </w:p>
    <w:p>
      <w:pPr>
        <w:numPr>
          <w:ilvl w:val="0"/>
          <w:numId w:val="11"/>
        </w:numPr>
        <w:pStyle w:val="COEPSList"/>
      </w:pPr>
      <w:r>
        <w:t>Servidor usa crypto para gerar um código imprevisível.</w:t>
      </w:r>
    </w:p>
    <w:p>
      <w:pPr>
        <w:numPr>
          <w:ilvl w:val="0"/>
          <w:numId w:val="11"/>
        </w:numPr>
        <w:pStyle w:val="COEPSList"/>
      </w:pPr>
      <w:r>
        <w:t>O gerador consulta catálogo ativo e histórico para impedir reutilização.</w:t>
      </w:r>
    </w:p>
    <w:p>
      <w:pPr>
        <w:numPr>
          <w:ilvl w:val="0"/>
          <w:numId w:val="11"/>
        </w:numPr>
        <w:pStyle w:val="COEPSList"/>
      </w:pPr>
      <w:r>
        <w:t>Um índice único protege contra concorrência e colisões.</w:t>
      </w:r>
    </w:p>
    <w:p>
      <w:pPr>
        <w:numPr>
          <w:ilvl w:val="0"/>
          <w:numId w:val="11"/>
        </w:numPr>
        <w:pStyle w:val="COEPSList"/>
      </w:pPr>
      <w:r>
        <w:t>O percentual fica imutável após a emissão.</w:t>
      </w:r>
    </w:p>
    <w:p>
      <w:pPr>
        <w:pStyle w:val="Heading2"/>
        <w:keepNext/>
        <w:keepLines/>
      </w:pPr>
      <w:r>
        <w:t>Preview e aplicação</w:t>
      </w:r>
    </w:p>
    <w:p>
      <w:pPr>
        <w:pStyle w:val="COEPSBody"/>
      </w:pPr>
      <w:r>
        <w:t>O checkout apresentará campos separados para cupom de desconto e código de indicação. O endpoint de preview não reserva; ele apenas verifica e apresenta o preço. A disponibilidade é garantida somente na criação da sessão.</w:t>
      </w:r>
    </w:p>
    <w:p>
      <w:pPr>
        <w:pStyle w:val="COEPSCode"/>
        <w:spacing w:before="80"/>
        <w:ind w:left="173" w:right="173"/>
        <w:shd w:fill="F7F8FA"/>
        <w:pBdr>
          <w:top w:val="single" w:sz="4" w:space="5" w:color="D8DEE6"/>
          <w:left w:val="single" w:sz="4" w:space="5" w:color="D8DEE6"/>
          <w:bottom w:val="single" w:sz="4" w:space="5" w:color="D8DEE6"/>
          <w:right w:val="single" w:sz="4" w:space="5" w:color="D8DEE6"/>
        </w:pBdr>
      </w:pPr>
      <w:r>
        <w:t>POST /api/payment/codes/preview</w:t>
      </w:r>
      <w:r>
        <w:br/>
      </w:r>
      <w:r/>
      <w:r>
        <w:br/>
      </w:r>
      <w:r>
        <w:t>{</w:t>
      </w:r>
      <w:r>
        <w:br/>
      </w:r>
      <w:r>
        <w:t xml:space="preserve">  "discountCode": "C26-H7K9-Q2PX",</w:t>
      </w:r>
      <w:r>
        <w:br/>
      </w:r>
      <w:r>
        <w:t xml:space="preserve">  "trackingCode": "C26-PARCEIRO-ANA"</w:t>
      </w:r>
      <w:r>
        <w:br/>
      </w:r>
      <w:r>
        <w:t>}</w:t>
      </w:r>
    </w:p>
    <w:p>
      <w:pPr>
        <w:numPr>
          <w:ilvl w:val="0"/>
          <w:numId w:val="10"/>
        </w:numPr>
        <w:pStyle w:val="COEPSList"/>
      </w:pPr>
      <w:r>
        <w:t>O backend relê lote, configuração e códigos no MongoDB.</w:t>
      </w:r>
    </w:p>
    <w:p>
      <w:pPr>
        <w:numPr>
          <w:ilvl w:val="0"/>
          <w:numId w:val="10"/>
        </w:numPr>
        <w:pStyle w:val="COEPSList"/>
      </w:pPr>
      <w:r>
        <w:t>O preço final nunca é aceito do frontend.</w:t>
      </w:r>
    </w:p>
    <w:p>
      <w:pPr>
        <w:numPr>
          <w:ilvl w:val="0"/>
          <w:numId w:val="10"/>
        </w:numPr>
        <w:pStyle w:val="COEPSList"/>
      </w:pPr>
      <w:r>
        <w:t>Percentuais são calculados em centavos inteiros.</w:t>
      </w:r>
    </w:p>
    <w:p>
      <w:pPr>
        <w:numPr>
          <w:ilvl w:val="0"/>
          <w:numId w:val="10"/>
        </w:numPr>
        <w:pStyle w:val="COEPSList"/>
      </w:pPr>
      <w:r>
        <w:t>Rastreio sempre produz desconto zero.</w:t>
      </w:r>
    </w:p>
    <w:p>
      <w:pPr>
        <w:numPr>
          <w:ilvl w:val="0"/>
          <w:numId w:val="10"/>
        </w:numPr>
        <w:pStyle w:val="COEPSList"/>
      </w:pPr>
      <w:r>
        <w:t>A resposta pública de rastreio não revela dados do responsável.</w:t>
      </w:r>
    </w:p>
    <w:p>
      <w:pPr>
        <w:pStyle w:val="Heading2"/>
        <w:keepNext/>
        <w:keepLines/>
      </w:pPr>
      <w:r>
        <w:t>Confirmação, falha e estorno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2300"/>
        <w:gridCol w:w="2300"/>
        <w:gridCol w:w="47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Evento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Atribuição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Código de desconto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Pagamento confirmado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CONFIRMED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Removido do catálogo; permanece no histórico mínimo.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Sessão interna expirada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EXPIRED</w:t>
            </w:r>
          </w:p>
        </w:tc>
        <w:tc>
          <w:tcPr>
            <w:tcW w:type="dxa" w:w="4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Liberado se nenhuma cobrança externa existir.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Cobrança cancelada/recusada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CANCELLED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Liberado após estado terminal do provedor.</w:t>
            </w:r>
          </w:p>
        </w:tc>
      </w:tr>
      <w:tr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Pagamento estornado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REFUNDED</w:t>
            </w:r>
          </w:p>
        </w:tc>
        <w:tc>
          <w:tcPr>
            <w:tcW w:type="dxa" w:w="4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Continua consumido e sai da contagem de confirmadas.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Webhook repetido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Sem nova transição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Nenhuma duplicação ou novo consumo.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  <w:keepNext/>
        <w:keepLines/>
      </w:pPr>
      <w:r>
        <w:t>Plano de implementação por fases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700"/>
        <w:gridCol w:w="2200"/>
        <w:gridCol w:w="1300"/>
        <w:gridCol w:w="51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Fase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Escopo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Repositório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Resultado verificável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Preparação segura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Ambos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Worktrees isolados, feature flag e baseline registrados.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1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Identificação da edição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Ambos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edicaoId disponível em contratos e configuração.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Migração MongoDB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Site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Coleções e índices criados por script idempotente.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3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Serviço central de códigos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Site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Gerar, validar, reservar, liberar e consumir.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Preview no checkout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Site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Preço original/final e rastreio validados no servidor.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5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Sessão de pagamento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Site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Uma sessão e somente uma cobrança externa ativa.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Integração de meios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Site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PIX, cartão e modo manual usam o mesmo ledger.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7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Webhook confiável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Site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Autenticação, idempotência e transações.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Gestão administrativa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Admin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CRUD, gerador e relatório por código.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9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Limpeza anual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Admin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Prévia e exclusão segura por edição.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Ajustes administrativos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Admin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Tipos, filtros, projeções e paginação corrigidos.</w:t>
            </w:r>
          </w:p>
        </w:tc>
      </w:tr>
      <w:tr>
        <w:tc>
          <w:tcPr>
            <w:tcW w:type="dxa" w:w="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11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Testes e publicação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Ambos</w:t>
            </w:r>
          </w:p>
        </w:tc>
        <w:tc>
          <w:tcPr>
            <w:tcW w:type="dxa" w:w="5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Sandbox validado e feature flag habilitada.</w:t>
            </w:r>
          </w:p>
        </w:tc>
      </w:tr>
    </w:tbl>
    <w:p>
      <w:pPr>
        <w:spacing w:before="0" w:after="60"/>
      </w:pPr>
    </w:p>
    <w:p>
      <w:pPr>
        <w:pStyle w:val="Heading2"/>
        <w:keepNext/>
        <w:keepLines/>
      </w:pPr>
      <w:r>
        <w:t>Fase 0 — Preparação segura</w:t>
      </w:r>
    </w:p>
    <w:p>
      <w:pPr>
        <w:numPr>
          <w:ilvl w:val="0"/>
          <w:numId w:val="10"/>
        </w:numPr>
        <w:pStyle w:val="COEPSList"/>
      </w:pPr>
      <w:r>
        <w:t>Criar branches/worktrees separados para site e admin.</w:t>
      </w:r>
    </w:p>
    <w:p>
      <w:pPr>
        <w:numPr>
          <w:ilvl w:val="0"/>
          <w:numId w:val="10"/>
        </w:numPr>
        <w:pStyle w:val="COEPSList"/>
      </w:pPr>
      <w:r>
        <w:t>Preservar as alterações locais já existentes no admin.</w:t>
      </w:r>
    </w:p>
    <w:p>
      <w:pPr>
        <w:numPr>
          <w:ilvl w:val="0"/>
          <w:numId w:val="10"/>
        </w:numPr>
        <w:pStyle w:val="COEPSList"/>
      </w:pPr>
      <w:r>
        <w:t>Adicionar feature flag com códigos invisíveis até o rollout.</w:t>
      </w:r>
    </w:p>
    <w:p>
      <w:pPr>
        <w:numPr>
          <w:ilvl w:val="0"/>
          <w:numId w:val="10"/>
        </w:numPr>
        <w:pStyle w:val="COEPSList"/>
      </w:pPr>
      <w:r>
        <w:t>Confirmar token, callbacks e comportamento de retry do webhook Asaas.</w:t>
      </w:r>
    </w:p>
    <w:p>
      <w:pPr>
        <w:numPr>
          <w:ilvl w:val="0"/>
          <w:numId w:val="10"/>
        </w:numPr>
        <w:pStyle w:val="COEPSList"/>
      </w:pPr>
      <w:r>
        <w:t>Registrar coleções, índices e fluxo atual antes de qualquer mutação.</w:t>
      </w:r>
    </w:p>
    <w:p>
      <w:pPr>
        <w:pStyle w:val="Heading2"/>
        <w:keepNext/>
        <w:keepLines/>
      </w:pPr>
      <w:r>
        <w:t>Fase 1 — Identificação da edição</w:t>
      </w:r>
    </w:p>
    <w:p>
      <w:pPr>
        <w:numPr>
          <w:ilvl w:val="0"/>
          <w:numId w:val="10"/>
        </w:numPr>
        <w:pStyle w:val="COEPSList"/>
      </w:pPr>
      <w:r>
        <w:t>Adicionar edicaoId aos contratos de configuração, sessão, código e atribuição.</w:t>
      </w:r>
    </w:p>
    <w:p>
      <w:pPr>
        <w:numPr>
          <w:ilvl w:val="0"/>
          <w:numId w:val="10"/>
        </w:numPr>
        <w:pStyle w:val="COEPSList"/>
      </w:pPr>
      <w:r>
        <w:t>Centralizar a edição ativa e eliminar o ObjectId hardcoded espalhado.</w:t>
      </w:r>
    </w:p>
    <w:p>
      <w:pPr>
        <w:numPr>
          <w:ilvl w:val="0"/>
          <w:numId w:val="10"/>
        </w:numPr>
        <w:pStyle w:val="COEPSList"/>
      </w:pPr>
      <w:r>
        <w:t>Definir prefixo de código por edição.</w:t>
      </w:r>
    </w:p>
    <w:p>
      <w:pPr>
        <w:pStyle w:val="Heading2"/>
        <w:keepNext/>
        <w:keepLines/>
      </w:pPr>
      <w:r>
        <w:t>Fase 2 — Migração MongoDB</w:t>
      </w:r>
    </w:p>
    <w:p>
      <w:pPr>
        <w:numPr>
          <w:ilvl w:val="0"/>
          <w:numId w:val="10"/>
        </w:numPr>
        <w:pStyle w:val="COEPSList"/>
      </w:pPr>
      <w:r>
        <w:t>Criar pagamentos.codigos e pagamentos.atribuicoes.</w:t>
      </w:r>
    </w:p>
    <w:p>
      <w:pPr>
        <w:numPr>
          <w:ilvl w:val="0"/>
          <w:numId w:val="10"/>
        </w:numPr>
        <w:pStyle w:val="COEPSList"/>
      </w:pPr>
      <w:r>
        <w:t>Criar índices únicos e de agregação.</w:t>
      </w:r>
    </w:p>
    <w:p>
      <w:pPr>
        <w:numPr>
          <w:ilvl w:val="0"/>
          <w:numId w:val="10"/>
        </w:numPr>
        <w:pStyle w:val="COEPSList"/>
      </w:pPr>
      <w:r>
        <w:t>Tornar o script idempotente e seguro para execução por ambiente.</w:t>
      </w:r>
    </w:p>
    <w:p>
      <w:pPr>
        <w:numPr>
          <w:ilvl w:val="0"/>
          <w:numId w:val="10"/>
        </w:numPr>
        <w:pStyle w:val="COEPSList"/>
      </w:pPr>
      <w:r>
        <w:t>Não executar backfill impossível de códigos antigos.</w:t>
      </w:r>
    </w:p>
    <w:p>
      <w:pPr>
        <w:pStyle w:val="Heading2"/>
        <w:keepNext/>
        <w:keepLines/>
      </w:pPr>
      <w:r>
        <w:t>Fase 3 — Serviço central de códigos</w:t>
      </w:r>
    </w:p>
    <w:p>
      <w:pPr>
        <w:numPr>
          <w:ilvl w:val="0"/>
          <w:numId w:val="10"/>
        </w:numPr>
        <w:pStyle w:val="COEPSList"/>
      </w:pPr>
      <w:r>
        <w:t>Criar módulos server-side de geração, normalização, cálculo e estado.</w:t>
      </w:r>
    </w:p>
    <w:p>
      <w:pPr>
        <w:numPr>
          <w:ilvl w:val="0"/>
          <w:numId w:val="10"/>
        </w:numPr>
        <w:pStyle w:val="COEPSList"/>
      </w:pPr>
      <w:r>
        <w:t>Gerar códigos com crypto, nunca Math.random.</w:t>
      </w:r>
    </w:p>
    <w:p>
      <w:pPr>
        <w:numPr>
          <w:ilvl w:val="0"/>
          <w:numId w:val="10"/>
        </w:numPr>
        <w:pStyle w:val="COEPSList"/>
      </w:pPr>
      <w:r>
        <w:t>Aplicar reserva com findOneAndUpdate condicional.</w:t>
      </w:r>
    </w:p>
    <w:p>
      <w:pPr>
        <w:numPr>
          <w:ilvl w:val="0"/>
          <w:numId w:val="10"/>
        </w:numPr>
        <w:pStyle w:val="COEPSList"/>
      </w:pPr>
      <w:r>
        <w:t>Impedir edição de percentual depois da emissão.</w:t>
      </w:r>
    </w:p>
    <w:p>
      <w:pPr>
        <w:numPr>
          <w:ilvl w:val="0"/>
          <w:numId w:val="10"/>
        </w:numPr>
        <w:pStyle w:val="COEPSList"/>
      </w:pPr>
      <w:r>
        <w:t>Adicionar autorização administrativa explícita.</w:t>
      </w:r>
    </w:p>
    <w:p>
      <w:pPr>
        <w:pStyle w:val="Heading2"/>
        <w:keepNext/>
        <w:keepLines/>
      </w:pPr>
      <w:r>
        <w:t>Fase 4 — Preview no checkout</w:t>
      </w:r>
    </w:p>
    <w:p>
      <w:pPr>
        <w:numPr>
          <w:ilvl w:val="0"/>
          <w:numId w:val="10"/>
        </w:numPr>
        <w:pStyle w:val="COEPSList"/>
      </w:pPr>
      <w:r>
        <w:t>Criar POST /api/payment/codes/preview.</w:t>
      </w:r>
    </w:p>
    <w:p>
      <w:pPr>
        <w:numPr>
          <w:ilvl w:val="0"/>
          <w:numId w:val="10"/>
        </w:numPr>
        <w:pStyle w:val="COEPSList"/>
      </w:pPr>
      <w:r>
        <w:t>Adicionar campos no fluxo automático e manual.</w:t>
      </w:r>
    </w:p>
    <w:p>
      <w:pPr>
        <w:numPr>
          <w:ilvl w:val="0"/>
          <w:numId w:val="10"/>
        </w:numPr>
        <w:pStyle w:val="COEPSList"/>
      </w:pPr>
      <w:r>
        <w:t>Exibir preço original, desconto e preço final.</w:t>
      </w:r>
    </w:p>
    <w:p>
      <w:pPr>
        <w:numPr>
          <w:ilvl w:val="0"/>
          <w:numId w:val="10"/>
        </w:numPr>
        <w:pStyle w:val="COEPSList"/>
      </w:pPr>
      <w:r>
        <w:t>Usar erros genéricos e rate limit para reduzir tentativa de adivinhação.</w:t>
      </w:r>
    </w:p>
    <w:p>
      <w:pPr>
        <w:pStyle w:val="Heading2"/>
        <w:keepNext/>
        <w:keepLines/>
      </w:pPr>
      <w:r>
        <w:t>Fase 5 — Sessão de pagamento</w:t>
      </w:r>
    </w:p>
    <w:p>
      <w:pPr>
        <w:numPr>
          <w:ilvl w:val="0"/>
          <w:numId w:val="10"/>
        </w:numPr>
        <w:pStyle w:val="COEPSList"/>
      </w:pPr>
      <w:r>
        <w:t>Criar sessão interna antes de chamar o Asaas.</w:t>
      </w:r>
    </w:p>
    <w:p>
      <w:pPr>
        <w:numPr>
          <w:ilvl w:val="0"/>
          <w:numId w:val="10"/>
        </w:numPr>
        <w:pStyle w:val="COEPSList"/>
      </w:pPr>
      <w:r>
        <w:t>Reservar o desconto na mesma transação da sessão e atribuição.</w:t>
      </w:r>
    </w:p>
    <w:p>
      <w:pPr>
        <w:numPr>
          <w:ilvl w:val="0"/>
          <w:numId w:val="10"/>
        </w:numPr>
        <w:pStyle w:val="COEPSList"/>
      </w:pPr>
      <w:r>
        <w:t>Separar criação de PIX em /session/pix.</w:t>
      </w:r>
    </w:p>
    <w:p>
      <w:pPr>
        <w:numPr>
          <w:ilvl w:val="0"/>
          <w:numId w:val="10"/>
        </w:numPr>
        <w:pStyle w:val="COEPSList"/>
      </w:pPr>
      <w:r>
        <w:t>Usar a sessão validada diretamente no cartão.</w:t>
      </w:r>
    </w:p>
    <w:p>
      <w:pPr>
        <w:numPr>
          <w:ilvl w:val="0"/>
          <w:numId w:val="10"/>
        </w:numPr>
        <w:pStyle w:val="COEPSList"/>
      </w:pPr>
      <w:r>
        <w:t>Travar a sessão na primeira cobrança externa criada.</w:t>
      </w:r>
    </w:p>
    <w:p>
      <w:pPr>
        <w:pStyle w:val="Heading2"/>
        <w:keepNext/>
        <w:keepLines/>
      </w:pPr>
      <w:r>
        <w:t>Fase 6 — Integração dos meios</w:t>
      </w:r>
    </w:p>
    <w:p>
      <w:pPr>
        <w:numPr>
          <w:ilvl w:val="0"/>
          <w:numId w:val="10"/>
        </w:numPr>
        <w:pStyle w:val="COEPSList"/>
      </w:pPr>
      <w:r>
        <w:t>Cobrir PIX automático, cartão automático e modo manual.</w:t>
      </w:r>
    </w:p>
    <w:p>
      <w:pPr>
        <w:numPr>
          <w:ilvl w:val="0"/>
          <w:numId w:val="10"/>
        </w:numPr>
        <w:pStyle w:val="COEPSList"/>
      </w:pPr>
      <w:r>
        <w:t>Persistir purchaseId nos objetos necessários para correlação.</w:t>
      </w:r>
    </w:p>
    <w:p>
      <w:pPr>
        <w:numPr>
          <w:ilvl w:val="0"/>
          <w:numId w:val="10"/>
        </w:numPr>
        <w:pStyle w:val="COEPSList"/>
      </w:pPr>
      <w:r>
        <w:t>Congelar código, responsável e valores como snapshot.</w:t>
      </w:r>
    </w:p>
    <w:p>
      <w:pPr>
        <w:numPr>
          <w:ilvl w:val="0"/>
          <w:numId w:val="10"/>
        </w:numPr>
        <w:pStyle w:val="COEPSList"/>
      </w:pPr>
      <w:r>
        <w:t>Aplicar desconto ao total e distribuir parcelamento em centavos.</w:t>
      </w:r>
    </w:p>
    <w:p>
      <w:pPr>
        <w:pStyle w:val="Heading2"/>
        <w:keepNext/>
        <w:keepLines/>
      </w:pPr>
      <w:r>
        <w:t>Fase 7 — Webhook confiável</w:t>
      </w:r>
    </w:p>
    <w:p>
      <w:pPr>
        <w:numPr>
          <w:ilvl w:val="0"/>
          <w:numId w:val="10"/>
        </w:numPr>
        <w:pStyle w:val="COEPSList"/>
      </w:pPr>
      <w:r>
        <w:t>Validar segredo/token conforme configuração do provedor.</w:t>
      </w:r>
    </w:p>
    <w:p>
      <w:pPr>
        <w:numPr>
          <w:ilvl w:val="0"/>
          <w:numId w:val="10"/>
        </w:numPr>
        <w:pStyle w:val="COEPSList"/>
      </w:pPr>
      <w:r>
        <w:t>Deduplicar eventos e retornar status HTTP correto.</w:t>
      </w:r>
    </w:p>
    <w:p>
      <w:pPr>
        <w:numPr>
          <w:ilvl w:val="0"/>
          <w:numId w:val="10"/>
        </w:numPr>
        <w:pStyle w:val="COEPSList"/>
      </w:pPr>
      <w:r>
        <w:t>Confirmar atribuição, usuário, sessão e consumo em transação.</w:t>
      </w:r>
    </w:p>
    <w:p>
      <w:pPr>
        <w:numPr>
          <w:ilvl w:val="0"/>
          <w:numId w:val="10"/>
        </w:numPr>
        <w:pStyle w:val="COEPSList"/>
      </w:pPr>
      <w:r>
        <w:t>Parar de acumular payloads completos indefinidamente.</w:t>
      </w:r>
    </w:p>
    <w:p>
      <w:pPr>
        <w:numPr>
          <w:ilvl w:val="0"/>
          <w:numId w:val="10"/>
        </w:numPr>
        <w:pStyle w:val="COEPSList"/>
      </w:pPr>
      <w:r>
        <w:t>Liberar código apenas em transições terminais válidas.</w:t>
      </w:r>
    </w:p>
    <w:p>
      <w:pPr>
        <w:pStyle w:val="Heading2"/>
        <w:keepNext/>
        <w:keepLines/>
      </w:pPr>
      <w:r>
        <w:t>Fase 8 — Painel administrativo</w:t>
      </w:r>
    </w:p>
    <w:p>
      <w:pPr>
        <w:numPr>
          <w:ilvl w:val="0"/>
          <w:numId w:val="10"/>
        </w:numPr>
        <w:pStyle w:val="COEPSList"/>
      </w:pPr>
      <w:r>
        <w:t>Criar /financeiro/codigos.</w:t>
      </w:r>
    </w:p>
    <w:p>
      <w:pPr>
        <w:numPr>
          <w:ilvl w:val="0"/>
          <w:numId w:val="10"/>
        </w:numPr>
        <w:pStyle w:val="COEPSList"/>
      </w:pPr>
      <w:r>
        <w:t>Adicionar gerador de desconto por edição e percentual.</w:t>
      </w:r>
    </w:p>
    <w:p>
      <w:pPr>
        <w:numPr>
          <w:ilvl w:val="0"/>
          <w:numId w:val="10"/>
        </w:numPr>
        <w:pStyle w:val="COEPSList"/>
      </w:pPr>
      <w:r>
        <w:t>Cadastrar rastreio com responsável.</w:t>
      </w:r>
    </w:p>
    <w:p>
      <w:pPr>
        <w:numPr>
          <w:ilvl w:val="0"/>
          <w:numId w:val="10"/>
        </w:numPr>
        <w:pStyle w:val="COEPSList"/>
      </w:pPr>
      <w:r>
        <w:t>Listar estados disponível, reservado, usado, desativado e expirado.</w:t>
      </w:r>
    </w:p>
    <w:p>
      <w:pPr>
        <w:numPr>
          <w:ilvl w:val="0"/>
          <w:numId w:val="10"/>
        </w:numPr>
        <w:pStyle w:val="COEPSList"/>
      </w:pPr>
      <w:r>
        <w:t>Agregar confirmadas, pendentes e estornadas por código.</w:t>
      </w:r>
    </w:p>
    <w:p>
      <w:pPr>
        <w:pStyle w:val="Heading2"/>
        <w:keepNext/>
        <w:keepLines/>
      </w:pPr>
      <w:r>
        <w:t>Fase 9 — Limpeza anual</w:t>
      </w:r>
    </w:p>
    <w:p>
      <w:pPr>
        <w:numPr>
          <w:ilvl w:val="0"/>
          <w:numId w:val="10"/>
        </w:numPr>
        <w:pStyle w:val="COEPSList"/>
      </w:pPr>
      <w:r>
        <w:t>Adicionar botão Apagar histórico da edição.</w:t>
      </w:r>
    </w:p>
    <w:p>
      <w:pPr>
        <w:numPr>
          <w:ilvl w:val="0"/>
          <w:numId w:val="10"/>
        </w:numPr>
        <w:pStyle w:val="COEPSList"/>
      </w:pPr>
      <w:r>
        <w:t>Validar no backend que a edição terminou há mais de um ano.</w:t>
      </w:r>
    </w:p>
    <w:p>
      <w:pPr>
        <w:numPr>
          <w:ilvl w:val="0"/>
          <w:numId w:val="10"/>
        </w:numPr>
        <w:pStyle w:val="COEPSList"/>
      </w:pPr>
      <w:r>
        <w:t>Exibir prévia com quantidades e exigir confirmação digitada.</w:t>
      </w:r>
    </w:p>
    <w:p>
      <w:pPr>
        <w:numPr>
          <w:ilvl w:val="0"/>
          <w:numId w:val="10"/>
        </w:numPr>
        <w:pStyle w:val="COEPSList"/>
      </w:pPr>
      <w:r>
        <w:t>Excluir somente filtros com edicaoId explícito.</w:t>
      </w:r>
    </w:p>
    <w:p>
      <w:pPr>
        <w:numPr>
          <w:ilvl w:val="0"/>
          <w:numId w:val="10"/>
        </w:numPr>
        <w:pStyle w:val="COEPSList"/>
      </w:pPr>
      <w:r>
        <w:t>Preservar usuários, pagamentos principais e comprovantes.</w:t>
      </w:r>
    </w:p>
    <w:p>
      <w:pPr>
        <w:numPr>
          <w:ilvl w:val="0"/>
          <w:numId w:val="10"/>
        </w:numPr>
        <w:pStyle w:val="COEPSList"/>
      </w:pPr>
      <w:r>
        <w:t>Registrar quem executou, quando e quantos registros foram removidos.</w:t>
      </w:r>
    </w:p>
    <w:p>
      <w:pPr>
        <w:pStyle w:val="Heading2"/>
        <w:keepNext/>
        <w:keepLines/>
      </w:pPr>
      <w:r>
        <w:t>Fase 10 — Ajustes administrativos</w:t>
      </w:r>
    </w:p>
    <w:p>
      <w:pPr>
        <w:numPr>
          <w:ilvl w:val="0"/>
          <w:numId w:val="10"/>
        </w:numPr>
        <w:pStyle w:val="COEPSList"/>
      </w:pPr>
      <w:r>
        <w:t>Alinhar tipos de lotes automáticos.</w:t>
      </w:r>
    </w:p>
    <w:p>
      <w:pPr>
        <w:numPr>
          <w:ilvl w:val="0"/>
          <w:numId w:val="10"/>
        </w:numPr>
        <w:pStyle w:val="COEPSList"/>
      </w:pPr>
      <w:r>
        <w:t>Corrigir o uso de payedUsers no lugar de filteredUsers.</w:t>
      </w:r>
    </w:p>
    <w:p>
      <w:pPr>
        <w:numPr>
          <w:ilvl w:val="0"/>
          <w:numId w:val="10"/>
        </w:numPr>
        <w:pStyle w:val="COEPSList"/>
      </w:pPr>
      <w:r>
        <w:t>Paginar a lista de pagantes.</w:t>
      </w:r>
    </w:p>
    <w:p>
      <w:pPr>
        <w:numPr>
          <w:ilvl w:val="0"/>
          <w:numId w:val="10"/>
        </w:numPr>
        <w:pStyle w:val="COEPSList"/>
      </w:pPr>
      <w:r>
        <w:t>Projetar somente campos necessários.</w:t>
      </w:r>
    </w:p>
    <w:p>
      <w:pPr>
        <w:numPr>
          <w:ilvl w:val="0"/>
          <w:numId w:val="10"/>
        </w:numPr>
        <w:pStyle w:val="COEPSList"/>
      </w:pPr>
      <w:r>
        <w:t>Evitar exposição de documentos completos no navegador.</w:t>
      </w:r>
    </w:p>
    <w:p>
      <w:pPr>
        <w:pStyle w:val="Heading2"/>
        <w:keepNext/>
        <w:keepLines/>
      </w:pPr>
      <w:r>
        <w:t>Fase 11 — Testes e publicação</w:t>
      </w:r>
    </w:p>
    <w:p>
      <w:pPr>
        <w:numPr>
          <w:ilvl w:val="0"/>
          <w:numId w:val="10"/>
        </w:numPr>
        <w:pStyle w:val="COEPSList"/>
      </w:pPr>
      <w:r>
        <w:t>Executar testes unitários, integração, concorrência e sandbox.</w:t>
      </w:r>
    </w:p>
    <w:p>
      <w:pPr>
        <w:numPr>
          <w:ilvl w:val="0"/>
          <w:numId w:val="10"/>
        </w:numPr>
        <w:pStyle w:val="COEPSList"/>
      </w:pPr>
      <w:r>
        <w:t>Rodar lint, typecheck e build nos dois projetos.</w:t>
      </w:r>
    </w:p>
    <w:p>
      <w:pPr>
        <w:numPr>
          <w:ilvl w:val="0"/>
          <w:numId w:val="10"/>
        </w:numPr>
        <w:pStyle w:val="COEPSList"/>
      </w:pPr>
      <w:r>
        <w:t>Publicar backend e webhook antes da interface.</w:t>
      </w:r>
    </w:p>
    <w:p>
      <w:pPr>
        <w:numPr>
          <w:ilvl w:val="0"/>
          <w:numId w:val="10"/>
        </w:numPr>
        <w:pStyle w:val="COEPSList"/>
      </w:pPr>
      <w:r>
        <w:t>Criar códigos de teste e validar o relatório.</w:t>
      </w:r>
    </w:p>
    <w:p>
      <w:pPr>
        <w:numPr>
          <w:ilvl w:val="0"/>
          <w:numId w:val="10"/>
        </w:numPr>
        <w:pStyle w:val="COEPSList"/>
      </w:pPr>
      <w:r>
        <w:t>Habilitar a feature flag e monitorar as primeiras compras.</w:t>
      </w:r>
    </w:p>
    <w:p>
      <w:r>
        <w:br w:type="page"/>
      </w:r>
    </w:p>
    <w:p>
      <w:pPr>
        <w:pStyle w:val="Heading1"/>
        <w:keepNext/>
        <w:keepLines/>
      </w:pPr>
      <w:r>
        <w:t>Mudanças previstas por repositório</w:t>
      </w:r>
    </w:p>
    <w:p>
      <w:pPr>
        <w:pStyle w:val="Heading2"/>
        <w:keepNext/>
        <w:keepLines/>
      </w:pPr>
      <w:r>
        <w:t>coeps-site</w:t>
      </w:r>
    </w:p>
    <w:p>
      <w:pPr>
        <w:pStyle w:val="COEPSCode"/>
        <w:spacing w:before="80"/>
        <w:ind w:left="173" w:right="173"/>
        <w:shd w:fill="F7F8FA"/>
        <w:pBdr>
          <w:top w:val="single" w:sz="4" w:space="5" w:color="D8DEE6"/>
          <w:left w:val="single" w:sz="4" w:space="5" w:color="D8DEE6"/>
          <w:bottom w:val="single" w:sz="4" w:space="5" w:color="D8DEE6"/>
          <w:right w:val="single" w:sz="4" w:space="5" w:color="D8DEE6"/>
        </w:pBdr>
      </w:pPr>
      <w:r>
        <w:t>Novos módulos propostos:</w:t>
      </w:r>
      <w:r>
        <w:br/>
      </w:r>
      <w:r>
        <w:t>app/lib/payments/codes.ts</w:t>
      </w:r>
      <w:r>
        <w:br/>
      </w:r>
      <w:r>
        <w:t>app/lib/payments/prices.ts</w:t>
      </w:r>
      <w:r>
        <w:br/>
      </w:r>
      <w:r>
        <w:t>app/lib/payments/purchases.ts</w:t>
      </w:r>
      <w:r>
        <w:br/>
      </w:r>
      <w:r>
        <w:t>app/lib/payments/asaas.ts</w:t>
      </w:r>
      <w:r>
        <w:br/>
      </w:r>
      <w:r>
        <w:t>app/lib/types/payments/paymentCode.t.ts</w:t>
      </w:r>
      <w:r>
        <w:br/>
      </w:r>
      <w:r/>
      <w:r>
        <w:br/>
      </w:r>
      <w:r>
        <w:t>Novas APIs propostas:</w:t>
      </w:r>
      <w:r>
        <w:br/>
      </w:r>
      <w:r>
        <w:t>POST /api/payment/codes/preview</w:t>
      </w:r>
      <w:r>
        <w:br/>
      </w:r>
      <w:r>
        <w:t>POST /api/v1/payment/session/pix</w:t>
      </w:r>
    </w:p>
    <w:p>
      <w:pPr>
        <w:numPr>
          <w:ilvl w:val="0"/>
          <w:numId w:val="10"/>
        </w:numPr>
        <w:pStyle w:val="COEPSList"/>
      </w:pPr>
      <w:r>
        <w:t>Modificar app/(auth)/pagamentos/page.tsx.</w:t>
      </w:r>
    </w:p>
    <w:p>
      <w:pPr>
        <w:numPr>
          <w:ilvl w:val="0"/>
          <w:numId w:val="10"/>
        </w:numPr>
        <w:pStyle w:val="COEPSList"/>
      </w:pPr>
      <w:r>
        <w:t>Modificar app/(auth)/pagamentos/paginaPagamentoAntigo.tsx.</w:t>
      </w:r>
    </w:p>
    <w:p>
      <w:pPr>
        <w:numPr>
          <w:ilvl w:val="0"/>
          <w:numId w:val="10"/>
        </w:numPr>
        <w:pStyle w:val="COEPSList"/>
      </w:pPr>
      <w:r>
        <w:t>Modificar POST /api/v1/payment/session.</w:t>
      </w:r>
    </w:p>
    <w:p>
      <w:pPr>
        <w:numPr>
          <w:ilvl w:val="0"/>
          <w:numId w:val="10"/>
        </w:numPr>
        <w:pStyle w:val="COEPSList"/>
      </w:pPr>
      <w:r>
        <w:t>Modificar POST /api/v1/payment/session/creditCard.</w:t>
      </w:r>
    </w:p>
    <w:p>
      <w:pPr>
        <w:numPr>
          <w:ilvl w:val="0"/>
          <w:numId w:val="10"/>
        </w:numPr>
        <w:pStyle w:val="COEPSList"/>
      </w:pPr>
      <w:r>
        <w:t>Modificar endpoints manuais de cobrança.</w:t>
      </w:r>
    </w:p>
    <w:p>
      <w:pPr>
        <w:numPr>
          <w:ilvl w:val="0"/>
          <w:numId w:val="10"/>
        </w:numPr>
        <w:pStyle w:val="COEPSList"/>
      </w:pPr>
      <w:r>
        <w:t>Reescrever de forma incremental o webhook payment_notification.</w:t>
      </w:r>
    </w:p>
    <w:p>
      <w:pPr>
        <w:numPr>
          <w:ilvl w:val="0"/>
          <w:numId w:val="10"/>
        </w:numPr>
        <w:pStyle w:val="COEPSList"/>
      </w:pPr>
      <w:r>
        <w:t>Atualizar tipos de pagamento e sessão.</w:t>
      </w:r>
    </w:p>
    <w:p>
      <w:pPr>
        <w:pStyle w:val="Heading2"/>
        <w:keepNext/>
        <w:keepLines/>
      </w:pPr>
      <w:r>
        <w:t>coeps-site-admin</w:t>
      </w:r>
    </w:p>
    <w:p>
      <w:pPr>
        <w:pStyle w:val="COEPSCode"/>
        <w:spacing w:before="80"/>
        <w:ind w:left="173" w:right="173"/>
        <w:shd w:fill="F7F8FA"/>
        <w:pBdr>
          <w:top w:val="single" w:sz="4" w:space="5" w:color="D8DEE6"/>
          <w:left w:val="single" w:sz="4" w:space="5" w:color="D8DEE6"/>
          <w:bottom w:val="single" w:sz="4" w:space="5" w:color="D8DEE6"/>
          <w:right w:val="single" w:sz="4" w:space="5" w:color="D8DEE6"/>
        </w:pBdr>
      </w:pPr>
      <w:r>
        <w:t>Nova página proposta:</w:t>
      </w:r>
      <w:r>
        <w:br/>
      </w:r>
      <w:r>
        <w:t>app/financeiro/codigos/page.tsx</w:t>
      </w:r>
      <w:r>
        <w:br/>
      </w:r>
      <w:r/>
      <w:r>
        <w:br/>
      </w:r>
      <w:r>
        <w:t>APIs propostas:</w:t>
      </w:r>
      <w:r>
        <w:br/>
      </w:r>
      <w:r>
        <w:t>GET  /api/get/pagamentos/codigos</w:t>
      </w:r>
      <w:r>
        <w:br/>
      </w:r>
      <w:r>
        <w:t>POST /api/post/pagamentos/codigos/desconto/gerar</w:t>
      </w:r>
      <w:r>
        <w:br/>
      </w:r>
      <w:r>
        <w:t>POST /api/post/pagamentos/codigos/rastreio</w:t>
      </w:r>
      <w:r>
        <w:br/>
      </w:r>
      <w:r>
        <w:t>PUT  /api/put/pagamentos/codigos/[id]</w:t>
      </w:r>
      <w:r>
        <w:br/>
      </w:r>
      <w:r>
        <w:t>GET  /api/get/pagamentos/codigos/[id]/vendas</w:t>
      </w:r>
      <w:r>
        <w:br/>
      </w:r>
      <w:r>
        <w:t>POST /api/post/pagamentos/historico/preview-limpeza</w:t>
      </w:r>
      <w:r>
        <w:br/>
      </w:r>
      <w:r>
        <w:t>DELETE /api/delete/pagamentos/historico/[edicaoId]</w:t>
      </w:r>
    </w:p>
    <w:p>
      <w:pPr>
        <w:numPr>
          <w:ilvl w:val="0"/>
          <w:numId w:val="10"/>
        </w:numPr>
        <w:pStyle w:val="COEPSList"/>
      </w:pPr>
      <w:r>
        <w:t>Adicionar navegação em Financeiro.</w:t>
      </w:r>
    </w:p>
    <w:p>
      <w:pPr>
        <w:numPr>
          <w:ilvl w:val="0"/>
          <w:numId w:val="10"/>
        </w:numPr>
        <w:pStyle w:val="COEPSList"/>
      </w:pPr>
      <w:r>
        <w:t>Criar gerador e listagem de descontos.</w:t>
      </w:r>
    </w:p>
    <w:p>
      <w:pPr>
        <w:numPr>
          <w:ilvl w:val="0"/>
          <w:numId w:val="10"/>
        </w:numPr>
        <w:pStyle w:val="COEPSList"/>
      </w:pPr>
      <w:r>
        <w:t>Criar gestão de rastreios e responsáveis.</w:t>
      </w:r>
    </w:p>
    <w:p>
      <w:pPr>
        <w:numPr>
          <w:ilvl w:val="0"/>
          <w:numId w:val="10"/>
        </w:numPr>
        <w:pStyle w:val="COEPSList"/>
      </w:pPr>
      <w:r>
        <w:t>Criar relatório agregado por edição e código.</w:t>
      </w:r>
    </w:p>
    <w:p>
      <w:pPr>
        <w:numPr>
          <w:ilvl w:val="0"/>
          <w:numId w:val="10"/>
        </w:numPr>
        <w:pStyle w:val="COEPSList"/>
      </w:pPr>
      <w:r>
        <w:t>Adicionar autorização financeira específica.</w:t>
      </w:r>
    </w:p>
    <w:p>
      <w:pPr>
        <w:numPr>
          <w:ilvl w:val="0"/>
          <w:numId w:val="10"/>
        </w:numPr>
        <w:pStyle w:val="COEPSList"/>
      </w:pPr>
      <w:r>
        <w:t>Atualizar contratos de lotes automáticos e pagamentos.</w:t>
      </w:r>
    </w:p>
    <w:p>
      <w:pPr>
        <w:pStyle w:val="Heading1"/>
        <w:keepNext/>
        <w:keepLines/>
      </w:pPr>
      <w:r>
        <w:t>Correções incluídas no escopo</w:t>
      </w:r>
    </w:p>
    <w:p>
      <w:pPr>
        <w:pStyle w:val="Heading2"/>
        <w:keepNext/>
        <w:keepLines/>
      </w:pPr>
      <w:r>
        <w:t>Obrigatórias para correção financeira</w:t>
      </w:r>
    </w:p>
    <w:p>
      <w:pPr>
        <w:numPr>
          <w:ilvl w:val="0"/>
          <w:numId w:val="10"/>
        </w:numPr>
        <w:pStyle w:val="COEPSList"/>
      </w:pPr>
      <w:r>
        <w:t>Impedir PIX e cartão ativos simultaneamente para a mesma sessão.</w:t>
      </w:r>
    </w:p>
    <w:p>
      <w:pPr>
        <w:numPr>
          <w:ilvl w:val="0"/>
          <w:numId w:val="10"/>
        </w:numPr>
        <w:pStyle w:val="COEPSList"/>
      </w:pPr>
      <w:r>
        <w:t>Autenticar e tornar o webhook idempotente.</w:t>
      </w:r>
    </w:p>
    <w:p>
      <w:pPr>
        <w:numPr>
          <w:ilvl w:val="0"/>
          <w:numId w:val="10"/>
        </w:numPr>
        <w:pStyle w:val="COEPSList"/>
      </w:pPr>
      <w:r>
        <w:t>Retornar HTTP 5xx em falhas para permitir retry.</w:t>
      </w:r>
    </w:p>
    <w:p>
      <w:pPr>
        <w:numPr>
          <w:ilvl w:val="0"/>
          <w:numId w:val="10"/>
        </w:numPr>
        <w:pStyle w:val="COEPSList"/>
      </w:pPr>
      <w:r>
        <w:t>Normalizar estados da sessão.</w:t>
      </w:r>
    </w:p>
    <w:p>
      <w:pPr>
        <w:numPr>
          <w:ilvl w:val="0"/>
          <w:numId w:val="10"/>
        </w:numPr>
        <w:pStyle w:val="COEPSList"/>
      </w:pPr>
      <w:r>
        <w:t>Usar exatamente a sessão validada no cartão.</w:t>
      </w:r>
    </w:p>
    <w:p>
      <w:pPr>
        <w:numPr>
          <w:ilvl w:val="0"/>
          <w:numId w:val="10"/>
        </w:numPr>
        <w:pStyle w:val="COEPSList"/>
      </w:pPr>
      <w:r>
        <w:t>Unificar PIX, cartão e manual no mesmo ledger.</w:t>
      </w:r>
    </w:p>
    <w:p>
      <w:pPr>
        <w:numPr>
          <w:ilvl w:val="0"/>
          <w:numId w:val="10"/>
        </w:numPr>
        <w:pStyle w:val="COEPSList"/>
      </w:pPr>
      <w:r>
        <w:t>Calcular dinheiro em centavos.</w:t>
      </w:r>
    </w:p>
    <w:p>
      <w:pPr>
        <w:numPr>
          <w:ilvl w:val="0"/>
          <w:numId w:val="10"/>
        </w:numPr>
        <w:pStyle w:val="COEPSList"/>
      </w:pPr>
      <w:r>
        <w:t>Vincular reserva ao estado real da cobrança externa.</w:t>
      </w:r>
    </w:p>
    <w:p>
      <w:pPr>
        <w:pStyle w:val="Heading2"/>
        <w:keepNext/>
        <w:keepLines/>
      </w:pPr>
      <w:r>
        <w:t>Ajustes pequenos e seguros</w:t>
      </w:r>
    </w:p>
    <w:p>
      <w:pPr>
        <w:numPr>
          <w:ilvl w:val="0"/>
          <w:numId w:val="10"/>
        </w:numPr>
        <w:pStyle w:val="COEPSList"/>
      </w:pPr>
      <w:r>
        <w:t>Centralizar cliente e tratamento de erros do Asaas.</w:t>
      </w:r>
    </w:p>
    <w:p>
      <w:pPr>
        <w:numPr>
          <w:ilvl w:val="0"/>
          <w:numId w:val="10"/>
        </w:numPr>
        <w:pStyle w:val="COEPSList"/>
      </w:pPr>
      <w:r>
        <w:t>Centralizar configuração e edição ativa.</w:t>
      </w:r>
    </w:p>
    <w:p>
      <w:pPr>
        <w:numPr>
          <w:ilvl w:val="0"/>
          <w:numId w:val="10"/>
        </w:numPr>
        <w:pStyle w:val="COEPSList"/>
      </w:pPr>
      <w:r>
        <w:t>Reduzir payloads persistidos de webhook.</w:t>
      </w:r>
    </w:p>
    <w:p>
      <w:pPr>
        <w:numPr>
          <w:ilvl w:val="0"/>
          <w:numId w:val="10"/>
        </w:numPr>
        <w:pStyle w:val="COEPSList"/>
      </w:pPr>
      <w:r>
        <w:t>Adicionar rate limit ao preview de códigos.</w:t>
      </w:r>
    </w:p>
    <w:p>
      <w:pPr>
        <w:numPr>
          <w:ilvl w:val="0"/>
          <w:numId w:val="10"/>
        </w:numPr>
        <w:pStyle w:val="COEPSList"/>
      </w:pPr>
      <w:r>
        <w:t>Alinhar tipos entre os repositórios.</w:t>
      </w:r>
    </w:p>
    <w:p>
      <w:pPr>
        <w:numPr>
          <w:ilvl w:val="0"/>
          <w:numId w:val="10"/>
        </w:numPr>
        <w:pStyle w:val="COEPSList"/>
      </w:pPr>
      <w:r>
        <w:t>Corrigir filtro e paginação no financeiro.</w:t>
      </w:r>
    </w:p>
    <w:p>
      <w:pPr>
        <w:numPr>
          <w:ilvl w:val="0"/>
          <w:numId w:val="10"/>
        </w:numPr>
        <w:pStyle w:val="COEPSList"/>
      </w:pPr>
      <w:r>
        <w:t>Registrar auditoria de criação, edição, desativação e limpeza.</w:t>
      </w:r>
    </w:p>
    <w:p>
      <w:pPr>
        <w:pStyle w:val="Heading2"/>
        <w:keepNext/>
        <w:keepLines/>
      </w:pPr>
      <w:r>
        <w:t>Fora desta entrega</w:t>
      </w:r>
    </w:p>
    <w:p>
      <w:pPr>
        <w:numPr>
          <w:ilvl w:val="0"/>
          <w:numId w:val="10"/>
        </w:numPr>
        <w:pStyle w:val="COEPSList"/>
      </w:pPr>
      <w:r>
        <w:t>Refatoração visual completa da área de pagamentos.</w:t>
      </w:r>
    </w:p>
    <w:p>
      <w:pPr>
        <w:numPr>
          <w:ilvl w:val="0"/>
          <w:numId w:val="10"/>
        </w:numPr>
        <w:pStyle w:val="COEPSList"/>
      </w:pPr>
      <w:r>
        <w:t>Remoção definitiva do modo manual.</w:t>
      </w:r>
    </w:p>
    <w:p>
      <w:pPr>
        <w:numPr>
          <w:ilvl w:val="0"/>
          <w:numId w:val="10"/>
        </w:numPr>
        <w:pStyle w:val="COEPSList"/>
      </w:pPr>
      <w:r>
        <w:t>Redesenho completo de entidades de congresso e minicursos.</w:t>
      </w:r>
    </w:p>
    <w:p>
      <w:pPr>
        <w:numPr>
          <w:ilvl w:val="0"/>
          <w:numId w:val="10"/>
        </w:numPr>
        <w:pStyle w:val="COEPSList"/>
      </w:pPr>
      <w:r>
        <w:t>Cortesia de 100% sem gateway.</w:t>
      </w:r>
    </w:p>
    <w:p>
      <w:pPr>
        <w:numPr>
          <w:ilvl w:val="0"/>
          <w:numId w:val="10"/>
        </w:numPr>
        <w:pStyle w:val="COEPSList"/>
      </w:pPr>
      <w:r>
        <w:t>Atribuição retroativa de códigos a compras antigas.</w:t>
      </w:r>
    </w:p>
    <w:p>
      <w:pPr>
        <w:numPr>
          <w:ilvl w:val="0"/>
          <w:numId w:val="10"/>
        </w:numPr>
        <w:pStyle w:val="COEPSList"/>
      </w:pPr>
      <w:r>
        <w:t>Exclusão automática de dados financeiros principais.</w:t>
      </w:r>
    </w:p>
    <w:p>
      <w:pPr>
        <w:pStyle w:val="Heading1"/>
        <w:keepNext/>
        <w:keepLines/>
      </w:pPr>
      <w:r>
        <w:t>Segurança, privacidade e auditoria</w:t>
      </w:r>
    </w:p>
    <w:p>
      <w:pPr>
        <w:numPr>
          <w:ilvl w:val="0"/>
          <w:numId w:val="10"/>
        </w:numPr>
        <w:pStyle w:val="COEPSList"/>
      </w:pPr>
      <w:r>
        <w:t>Gerar códigos de desconto com entropia suficiente e prefixo da edição.</w:t>
      </w:r>
    </w:p>
    <w:p>
      <w:pPr>
        <w:numPr>
          <w:ilvl w:val="0"/>
          <w:numId w:val="10"/>
        </w:numPr>
        <w:pStyle w:val="COEPSList"/>
      </w:pPr>
      <w:r>
        <w:t>Não retornar nome ou contato do responsável no preview público.</w:t>
      </w:r>
    </w:p>
    <w:p>
      <w:pPr>
        <w:numPr>
          <w:ilvl w:val="0"/>
          <w:numId w:val="10"/>
        </w:numPr>
        <w:pStyle w:val="COEPSList"/>
      </w:pPr>
      <w:r>
        <w:t>Aplicar autorização administrativa por capacidade financeira.</w:t>
      </w:r>
    </w:p>
    <w:p>
      <w:pPr>
        <w:numPr>
          <w:ilvl w:val="0"/>
          <w:numId w:val="10"/>
        </w:numPr>
        <w:pStyle w:val="COEPSList"/>
      </w:pPr>
      <w:r>
        <w:t>Não registrar número completo de cartão ou CVC.</w:t>
      </w:r>
    </w:p>
    <w:p>
      <w:pPr>
        <w:numPr>
          <w:ilvl w:val="0"/>
          <w:numId w:val="10"/>
        </w:numPr>
        <w:pStyle w:val="COEPSList"/>
      </w:pPr>
      <w:r>
        <w:t>Deduplicar eventos externos por chave única.</w:t>
      </w:r>
    </w:p>
    <w:p>
      <w:pPr>
        <w:numPr>
          <w:ilvl w:val="0"/>
          <w:numId w:val="10"/>
        </w:numPr>
        <w:pStyle w:val="COEPSList"/>
      </w:pPr>
      <w:r>
        <w:t>Guardar auditoria mínima de alterações administrativas.</w:t>
      </w:r>
    </w:p>
    <w:p>
      <w:pPr>
        <w:numPr>
          <w:ilvl w:val="0"/>
          <w:numId w:val="10"/>
        </w:numPr>
        <w:pStyle w:val="COEPSList"/>
      </w:pPr>
      <w:r>
        <w:t>Impedir endpoints de limpeza sem filtro explícito por edição.</w:t>
      </w:r>
    </w:p>
    <w:p>
      <w:pPr>
        <w:numPr>
          <w:ilvl w:val="0"/>
          <w:numId w:val="10"/>
        </w:numPr>
        <w:pStyle w:val="COEPSList"/>
      </w:pPr>
      <w:r>
        <w:t>Revisar retenção de comprovantes e dados fiscais antes de qualquer exclusão adicional.</w:t>
      </w:r>
    </w:p>
    <w:p>
      <w:pPr>
        <w:pStyle w:val="Heading1"/>
        <w:keepNext/>
        <w:keepLines/>
      </w:pPr>
      <w:r>
        <w:t>Plano de testes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D1DC"/>
          <w:left w:val="single" w:sz="6" w:space="0" w:color="C7D1DC"/>
          <w:bottom w:val="single" w:sz="6" w:space="0" w:color="C7D1DC"/>
          <w:right w:val="single" w:sz="6" w:space="0" w:color="C7D1DC"/>
          <w:insideH w:val="single" w:sz="6" w:space="0" w:color="C7D1DC"/>
          <w:insideV w:val="single" w:sz="6" w:space="0" w:color="C7D1D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Categoria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OEPSTableHeader"/>
            </w:pPr>
            <w:r>
              <w:t>Cenários mínimos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Códigos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Percentuais diferentes; inexistente; desativado; vencido; rastreio sem desconto; desconto+rastreio.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Concorrência</w:t>
            </w:r>
          </w:p>
        </w:tc>
        <w:tc>
          <w:tcPr>
            <w:tcW w:type="dxa" w:w="7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Múltiplas reservas simultâneas; somente uma compra obtém o desconto.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Sessões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Expiração; cancelamento; falha do gateway; troca de método; bloqueio de cobrança dupla.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Webhook</w:t>
            </w:r>
          </w:p>
        </w:tc>
        <w:tc>
          <w:tcPr>
            <w:tcW w:type="dxa" w:w="7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Duplicado; fora de ordem; token inválido; falha temporária do Mongo; estorno.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Admin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Geração, desativação, rastreio, filtros, permissões e relatório.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Limpeza</w:t>
            </w:r>
          </w:p>
        </w:tc>
        <w:tc>
          <w:tcPr>
            <w:tcW w:type="dxa" w:w="7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Bloqueio antes de um ano; prévia; confirmação; escopo por edição; preservação de pagamentos.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Qualidade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COEPSTableBody"/>
            </w:pPr>
            <w:r>
              <w:t>Lint, typecheck, build e checkout completo no sandbox.</w:t>
            </w:r>
          </w:p>
        </w:tc>
      </w:tr>
    </w:tbl>
    <w:p>
      <w:pPr>
        <w:spacing w:before="0" w:after="60"/>
      </w:pPr>
    </w:p>
    <w:p>
      <w:pPr>
        <w:pStyle w:val="Heading1"/>
        <w:keepNext/>
        <w:keepLines/>
      </w:pPr>
      <w:r>
        <w:t>Ordem de publicação</w:t>
      </w:r>
    </w:p>
    <w:p>
      <w:pPr>
        <w:numPr>
          <w:ilvl w:val="0"/>
          <w:numId w:val="11"/>
        </w:numPr>
        <w:pStyle w:val="COEPSList"/>
      </w:pPr>
      <w:r>
        <w:t>Executar migration e índices no ambiente-alvo.</w:t>
      </w:r>
    </w:p>
    <w:p>
      <w:pPr>
        <w:numPr>
          <w:ilvl w:val="0"/>
          <w:numId w:val="11"/>
        </w:numPr>
        <w:pStyle w:val="COEPSList"/>
      </w:pPr>
      <w:r>
        <w:t>Publicar backend com códigos opcionais e feature flag desligada.</w:t>
      </w:r>
    </w:p>
    <w:p>
      <w:pPr>
        <w:numPr>
          <w:ilvl w:val="0"/>
          <w:numId w:val="11"/>
        </w:numPr>
        <w:pStyle w:val="COEPSList"/>
      </w:pPr>
      <w:r>
        <w:t>Publicar webhook autenticado e idempotente.</w:t>
      </w:r>
    </w:p>
    <w:p>
      <w:pPr>
        <w:numPr>
          <w:ilvl w:val="0"/>
          <w:numId w:val="11"/>
        </w:numPr>
        <w:pStyle w:val="COEPSList"/>
      </w:pPr>
      <w:r>
        <w:t>Publicar o painel administrativo.</w:t>
      </w:r>
    </w:p>
    <w:p>
      <w:pPr>
        <w:numPr>
          <w:ilvl w:val="0"/>
          <w:numId w:val="11"/>
        </w:numPr>
        <w:pStyle w:val="COEPSList"/>
      </w:pPr>
      <w:r>
        <w:t>Gerar códigos de teste.</w:t>
      </w:r>
    </w:p>
    <w:p>
      <w:pPr>
        <w:numPr>
          <w:ilvl w:val="0"/>
          <w:numId w:val="11"/>
        </w:numPr>
        <w:pStyle w:val="COEPSList"/>
      </w:pPr>
      <w:r>
        <w:t>Publicar os campos do checkout ainda desativados.</w:t>
      </w:r>
    </w:p>
    <w:p>
      <w:pPr>
        <w:numPr>
          <w:ilvl w:val="0"/>
          <w:numId w:val="11"/>
        </w:numPr>
        <w:pStyle w:val="COEPSList"/>
      </w:pPr>
      <w:r>
        <w:t>Validar PIX, cartão, manual e relatório no sandbox.</w:t>
      </w:r>
    </w:p>
    <w:p>
      <w:pPr>
        <w:numPr>
          <w:ilvl w:val="0"/>
          <w:numId w:val="11"/>
        </w:numPr>
        <w:pStyle w:val="COEPSList"/>
      </w:pPr>
      <w:r>
        <w:t>Habilitar a feature flag.</w:t>
      </w:r>
    </w:p>
    <w:p>
      <w:pPr>
        <w:numPr>
          <w:ilvl w:val="0"/>
          <w:numId w:val="11"/>
        </w:numPr>
        <w:pStyle w:val="COEPSList"/>
      </w:pPr>
      <w:r>
        <w:t>Monitorar as primeiras compras e eventos de webhook.</w:t>
      </w:r>
    </w:p>
    <w:p>
      <w:pPr>
        <w:pStyle w:val="Heading1"/>
        <w:keepNext/>
        <w:keepLines/>
      </w:pPr>
      <w:r>
        <w:t>Critérios de aceite</w:t>
      </w:r>
    </w:p>
    <w:p>
      <w:pPr>
        <w:numPr>
          <w:ilvl w:val="0"/>
          <w:numId w:val="10"/>
        </w:numPr>
        <w:pStyle w:val="COEPSList"/>
      </w:pPr>
      <w:r>
        <w:t>Código gerado cobra exatamente o percentual configurado.</w:t>
      </w:r>
    </w:p>
    <w:p>
      <w:pPr>
        <w:numPr>
          <w:ilvl w:val="0"/>
          <w:numId w:val="10"/>
        </w:numPr>
        <w:pStyle w:val="COEPSList"/>
      </w:pPr>
      <w:r>
        <w:t>Somente uma compra consegue reservar um desconto.</w:t>
      </w:r>
    </w:p>
    <w:p>
      <w:pPr>
        <w:numPr>
          <w:ilvl w:val="0"/>
          <w:numId w:val="10"/>
        </w:numPr>
        <w:pStyle w:val="COEPSList"/>
      </w:pPr>
      <w:r>
        <w:t>Código confirmado desaparece do catálogo ativo.</w:t>
      </w:r>
    </w:p>
    <w:p>
      <w:pPr>
        <w:numPr>
          <w:ilvl w:val="0"/>
          <w:numId w:val="10"/>
        </w:numPr>
        <w:pStyle w:val="COEPSList"/>
      </w:pPr>
      <w:r>
        <w:t>Código sem cobrança ou pagamento terminal falho volta a ficar disponível.</w:t>
      </w:r>
    </w:p>
    <w:p>
      <w:pPr>
        <w:numPr>
          <w:ilvl w:val="0"/>
          <w:numId w:val="10"/>
        </w:numPr>
        <w:pStyle w:val="COEPSList"/>
      </w:pPr>
      <w:r>
        <w:t>Código de rastreio não altera preço em nenhum método.</w:t>
      </w:r>
    </w:p>
    <w:p>
      <w:pPr>
        <w:numPr>
          <w:ilvl w:val="0"/>
          <w:numId w:val="10"/>
        </w:numPr>
        <w:pStyle w:val="COEPSList"/>
      </w:pPr>
      <w:r>
        <w:t>Webhook duplicado não duplica contagem nem consumo.</w:t>
      </w:r>
    </w:p>
    <w:p>
      <w:pPr>
        <w:numPr>
          <w:ilvl w:val="0"/>
          <w:numId w:val="10"/>
        </w:numPr>
        <w:pStyle w:val="COEPSList"/>
      </w:pPr>
      <w:r>
        <w:t>PIX e cartão não coexistem na mesma sessão.</w:t>
      </w:r>
    </w:p>
    <w:p>
      <w:pPr>
        <w:numPr>
          <w:ilvl w:val="0"/>
          <w:numId w:val="10"/>
        </w:numPr>
        <w:pStyle w:val="COEPSList"/>
      </w:pPr>
      <w:r>
        <w:t>Admin mostra contagem correta por código, pessoa e edição.</w:t>
      </w:r>
    </w:p>
    <w:p>
      <w:pPr>
        <w:numPr>
          <w:ilvl w:val="0"/>
          <w:numId w:val="10"/>
        </w:numPr>
        <w:pStyle w:val="COEPSList"/>
      </w:pPr>
      <w:r>
        <w:t>Estorno aparece separado e não reativa o desconto.</w:t>
      </w:r>
    </w:p>
    <w:p>
      <w:pPr>
        <w:numPr>
          <w:ilvl w:val="0"/>
          <w:numId w:val="10"/>
        </w:numPr>
        <w:pStyle w:val="COEPSList"/>
      </w:pPr>
      <w:r>
        <w:t>Limpeza anual só alcança a edição confirmada e preserva pagamentos principais.</w:t>
      </w:r>
    </w:p>
    <w:p>
      <w:pPr>
        <w:numPr>
          <w:ilvl w:val="0"/>
          <w:numId w:val="10"/>
        </w:numPr>
        <w:pStyle w:val="COEPSList"/>
      </w:pPr>
      <w:r>
        <w:t>Build, typecheck e lint passam nos dois repositórios.</w:t>
      </w:r>
    </w:p>
    <w:p>
      <w:pPr>
        <w:pStyle w:val="COEPSCallout"/>
        <w:spacing w:before="80"/>
        <w:ind w:left="115" w:right="115"/>
        <w:shd w:fill="E8EEF5"/>
        <w:pBdr>
          <w:top w:val="single" w:sz="4" w:space="5" w:color="C7D1DC"/>
          <w:left w:val="single" w:sz="4" w:space="5" w:color="C7D1DC"/>
          <w:bottom w:val="single" w:sz="4" w:space="5" w:color="C7D1DC"/>
          <w:right w:val="single" w:sz="4" w:space="5" w:color="C7D1DC"/>
        </w:pBdr>
      </w:pPr>
      <w:r>
        <w:rPr>
          <w:rFonts w:ascii="Calibri" w:hAnsi="Calibri" w:eastAsia="Calibri"/>
          <w:b/>
          <w:color w:val="1F3A5F"/>
        </w:rPr>
        <w:t xml:space="preserve">Gate de execução: </w:t>
      </w:r>
      <w:r>
        <w:t>este documento encerra a etapa de pesquisa e planejamento. A implementação começa somente após autorização explícita e será realizada na ordem descrita, com validação a cada fase.</w:t>
      </w:r>
    </w:p>
    <w:p>
      <w:pPr>
        <w:pStyle w:val="Heading1"/>
        <w:keepNext/>
        <w:keepLines/>
      </w:pPr>
      <w:r>
        <w:t>Arquivos atuais de referência</w:t>
      </w:r>
    </w:p>
    <w:p>
      <w:pPr>
        <w:numPr>
          <w:ilvl w:val="0"/>
          <w:numId w:val="10"/>
        </w:numPr>
        <w:pStyle w:val="COEPSReference"/>
      </w:pPr>
      <w:r>
        <w:t>coeps-site/app/(auth)/pagamentos/page.tsx</w:t>
      </w:r>
    </w:p>
    <w:p>
      <w:pPr>
        <w:numPr>
          <w:ilvl w:val="0"/>
          <w:numId w:val="10"/>
        </w:numPr>
        <w:pStyle w:val="COEPSReference"/>
      </w:pPr>
      <w:r>
        <w:t>coeps-site/app/(auth)/pagamentos/paginaPagamentoAntigo.tsx</w:t>
      </w:r>
    </w:p>
    <w:p>
      <w:pPr>
        <w:numPr>
          <w:ilvl w:val="0"/>
          <w:numId w:val="10"/>
        </w:numPr>
        <w:pStyle w:val="COEPSReference"/>
      </w:pPr>
      <w:r>
        <w:t>coeps-site/app/api/payment/paymentConfigs/route.js</w:t>
      </w:r>
    </w:p>
    <w:p>
      <w:pPr>
        <w:numPr>
          <w:ilvl w:val="0"/>
          <w:numId w:val="10"/>
        </w:numPr>
        <w:pStyle w:val="COEPSReference"/>
      </w:pPr>
      <w:r>
        <w:t>coeps-site/app/api/v1/payment/session/route.ts</w:t>
      </w:r>
    </w:p>
    <w:p>
      <w:pPr>
        <w:numPr>
          <w:ilvl w:val="0"/>
          <w:numId w:val="10"/>
        </w:numPr>
        <w:pStyle w:val="COEPSReference"/>
      </w:pPr>
      <w:r>
        <w:t>coeps-site/app/api/v1/payment/session/creditCard/route.ts</w:t>
      </w:r>
    </w:p>
    <w:p>
      <w:pPr>
        <w:numPr>
          <w:ilvl w:val="0"/>
          <w:numId w:val="10"/>
        </w:numPr>
        <w:pStyle w:val="COEPSReference"/>
      </w:pPr>
      <w:r>
        <w:t>coeps-site/app/api/payment/webhook/payment_notification/route.js</w:t>
      </w:r>
    </w:p>
    <w:p>
      <w:pPr>
        <w:numPr>
          <w:ilvl w:val="0"/>
          <w:numId w:val="10"/>
        </w:numPr>
        <w:pStyle w:val="COEPSReference"/>
      </w:pPr>
      <w:r>
        <w:t>coeps-site/app/lib/types/payments/payment.t.ts</w:t>
      </w:r>
    </w:p>
    <w:p>
      <w:pPr>
        <w:numPr>
          <w:ilvl w:val="0"/>
          <w:numId w:val="10"/>
        </w:numPr>
        <w:pStyle w:val="COEPSReference"/>
      </w:pPr>
      <w:r>
        <w:t>coeps-site-admin/app/financeiro/page.tsx</w:t>
      </w:r>
    </w:p>
    <w:p>
      <w:pPr>
        <w:numPr>
          <w:ilvl w:val="0"/>
          <w:numId w:val="10"/>
        </w:numPr>
        <w:pStyle w:val="COEPSReference"/>
      </w:pPr>
      <w:r>
        <w:t>coeps-site-admin/app/api/get/pagamentos/listaInscritos/route.ts</w:t>
      </w:r>
    </w:p>
    <w:p>
      <w:pPr>
        <w:numPr>
          <w:ilvl w:val="0"/>
          <w:numId w:val="10"/>
        </w:numPr>
        <w:pStyle w:val="COEPSReference"/>
      </w:pPr>
      <w:r>
        <w:t>coeps-site-admin/app/lib/types/payments/payment.t.ts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670"/>
        <w:sz w:val="18"/>
      </w:rPr>
      <w:t xml:space="preserve">Página </w:t>
    </w:r>
    <w:r>
      <w:rPr>
        <w:rFonts w:ascii="Calibri" w:hAnsi="Calibri" w:eastAsia="Calibri"/>
        <w:color w:val="5B6670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670"/>
        <w:sz w:val="18"/>
      </w:rPr>
      <w:t xml:space="preserve">Página </w:t>
    </w:r>
    <w:r>
      <w:rPr>
        <w:rFonts w:ascii="Calibri" w:hAnsi="Calibri" w:eastAsia="Calibri"/>
        <w:color w:val="5B667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 w:eastAsia="Calibri"/>
        <w:b/>
        <w:color w:val="5B6670"/>
        <w:sz w:val="17"/>
      </w:rPr>
      <w:t>COEPS | Plano técnico</w:t>
    </w:r>
    <w:r>
      <w:tab/>
    </w:r>
    <w:r>
      <w:rPr>
        <w:rFonts w:ascii="Calibri" w:hAnsi="Calibri" w:eastAsia="Calibri"/>
        <w:color w:val="5B6670"/>
        <w:sz w:val="17"/>
      </w:rPr>
      <w:t>Pagamento, descontos e rastreio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</w:pPr>
      <w:rPr>
        <w:rFonts w:ascii="Symbol" w:hAnsi="Symbol"/>
      </w:r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5B667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5B667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EPSBody">
    <w:name w:val="COEPS Body"/>
    <w:basedOn w:val="Normal"/>
    <w:pPr>
      <w:spacing w:before="0" w:after="120" w:line="300" w:lineRule="auto"/>
    </w:pPr>
    <w:rPr>
      <w:rFonts w:ascii="Calibri" w:hAnsi="Calibri"/>
      <w:b w:val="0"/>
      <w:color w:val="222222"/>
      <w:sz w:val="22"/>
    </w:rPr>
  </w:style>
  <w:style w:type="paragraph" w:customStyle="1" w:styleId="COEPSList">
    <w:name w:val="COEPS List"/>
    <w:basedOn w:val="Normal"/>
    <w:pPr>
      <w:spacing w:before="0" w:after="80" w:line="300" w:lineRule="auto"/>
    </w:pPr>
    <w:rPr>
      <w:rFonts w:ascii="Calibri" w:hAnsi="Calibri"/>
      <w:b w:val="0"/>
      <w:color w:val="222222"/>
      <w:sz w:val="22"/>
    </w:rPr>
  </w:style>
  <w:style w:type="paragraph" w:customStyle="1" w:styleId="COEPSKicker">
    <w:name w:val="COEPS Kicker"/>
    <w:basedOn w:val="Normal"/>
    <w:pPr>
      <w:spacing w:before="0" w:after="100" w:line="240" w:lineRule="auto"/>
    </w:pPr>
    <w:rPr>
      <w:rFonts w:ascii="Calibri" w:hAnsi="Calibri"/>
      <w:b/>
      <w:color w:val="2E74B5"/>
      <w:sz w:val="19"/>
    </w:rPr>
  </w:style>
  <w:style w:type="paragraph" w:customStyle="1" w:styleId="COEPSSubtitle">
    <w:name w:val="COEPS Subtitle"/>
    <w:basedOn w:val="Normal"/>
    <w:pPr>
      <w:spacing w:before="0" w:after="360" w:line="276" w:lineRule="auto"/>
    </w:pPr>
    <w:rPr>
      <w:rFonts w:ascii="Calibri" w:hAnsi="Calibri"/>
      <w:b w:val="0"/>
      <w:color w:val="5B6670"/>
      <w:sz w:val="26"/>
    </w:rPr>
  </w:style>
  <w:style w:type="paragraph" w:customStyle="1" w:styleId="COEPSMetadata">
    <w:name w:val="COEPS Metadata"/>
    <w:basedOn w:val="Normal"/>
    <w:pPr>
      <w:spacing w:before="0" w:after="40" w:line="264" w:lineRule="auto"/>
    </w:pPr>
    <w:rPr>
      <w:rFonts w:ascii="Calibri" w:hAnsi="Calibri"/>
      <w:b w:val="0"/>
      <w:color w:val="333333"/>
      <w:sz w:val="20"/>
    </w:rPr>
  </w:style>
  <w:style w:type="paragraph" w:customStyle="1" w:styleId="COEPSCallout">
    <w:name w:val="COEPS Callout"/>
    <w:basedOn w:val="Normal"/>
    <w:pPr>
      <w:spacing w:before="0" w:after="160" w:line="288" w:lineRule="auto"/>
    </w:pPr>
    <w:rPr>
      <w:rFonts w:ascii="Calibri" w:hAnsi="Calibri"/>
      <w:b w:val="0"/>
      <w:color w:val="222222"/>
      <w:sz w:val="22"/>
    </w:rPr>
  </w:style>
  <w:style w:type="paragraph" w:customStyle="1" w:styleId="COEPSCode">
    <w:name w:val="COEPS Code"/>
    <w:basedOn w:val="Normal"/>
    <w:pPr>
      <w:spacing w:before="0" w:after="160" w:line="264" w:lineRule="auto"/>
    </w:pPr>
    <w:rPr>
      <w:rFonts w:ascii="Consolas" w:hAnsi="Consolas"/>
      <w:b w:val="0"/>
      <w:color w:val="273142"/>
      <w:sz w:val="18"/>
    </w:rPr>
  </w:style>
  <w:style w:type="paragraph" w:customStyle="1" w:styleId="COEPSTableHeader">
    <w:name w:val="COEPS Table Header"/>
    <w:basedOn w:val="Normal"/>
    <w:pPr>
      <w:spacing w:before="0" w:after="0" w:line="264" w:lineRule="auto"/>
    </w:pPr>
    <w:rPr>
      <w:rFonts w:ascii="Calibri" w:hAnsi="Calibri"/>
      <w:b/>
      <w:color w:val="0B2545"/>
      <w:sz w:val="19"/>
    </w:rPr>
  </w:style>
  <w:style w:type="paragraph" w:customStyle="1" w:styleId="COEPSTableBody">
    <w:name w:val="COEPS Table Body"/>
    <w:basedOn w:val="Normal"/>
    <w:pPr>
      <w:spacing w:before="0" w:after="0" w:line="269" w:lineRule="auto"/>
    </w:pPr>
    <w:rPr>
      <w:rFonts w:ascii="Calibri" w:hAnsi="Calibri"/>
      <w:b w:val="0"/>
      <w:color w:val="222222"/>
      <w:sz w:val="18"/>
    </w:rPr>
  </w:style>
  <w:style w:type="paragraph" w:customStyle="1" w:styleId="COEPSReference">
    <w:name w:val="COEPS Reference"/>
    <w:basedOn w:val="Normal"/>
    <w:pPr>
      <w:spacing w:before="0" w:after="60" w:line="276" w:lineRule="auto"/>
    </w:pPr>
    <w:rPr>
      <w:rFonts w:ascii="Consolas" w:hAnsi="Consolas"/>
      <w:b w:val="0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implementação de códigos de desconto e rastreio</dc:title>
  <dc:subject>Sistema de pagamento do congresso COEPS</dc:subject>
  <dc:creator>COEPS</dc:creator>
  <cp:keywords>COEPS, pagamento, desconto, rastreio, implementação</cp:keywords>
  <dc:description>Documento técnico consolidado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