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b7791f" w:space="6" w:sz="18" w:val="single"/>
        </w:pBdr>
        <w:shd w:fill="fff4ce" w:val="clear"/>
        <w:spacing w:after="120" w:lineRule="auto"/>
        <w:ind w:left="1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a4b00"/>
          <w:sz w:val="20"/>
          <w:szCs w:val="20"/>
          <w:rtl w:val="0"/>
        </w:rPr>
        <w:t xml:space="preserve">MODELO ILUSTRATIVO: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a4b00"/>
          <w:sz w:val="20"/>
          <w:szCs w:val="20"/>
          <w:rtl w:val="0"/>
        </w:rPr>
        <w:t xml:space="preserve">gerado por inteligência artificial, com dados fictícios, para demonstrar a formatação. Apague os quadros coloridos antes da submissão.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publicação: Resumo simples | Publication type: Simple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AUTOMONITORAMENTO GLICÊMICO E CONTROLE METABÓLICO: PROGRAMA ESTRUTURADO EM PESSOAS COM DIABETES TIPO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1f4e9a" w:space="6" w:sz="18" w:val="single"/>
        </w:pBdr>
        <w:shd w:fill="e8f0fe" w:val="clear"/>
        <w:spacing w:after="120" w:before="60" w:lineRule="auto"/>
        <w:ind w:lef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9a"/>
          <w:sz w:val="20"/>
          <w:szCs w:val="20"/>
          <w:rtl w:val="0"/>
        </w:rPr>
        <w:t xml:space="preserve">Orientação ao autor (apague antes da submissão):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9a"/>
          <w:sz w:val="20"/>
          <w:szCs w:val="20"/>
          <w:rtl w:val="0"/>
        </w:rPr>
        <w:t xml:space="preserve">Título em Times New Roman 14, centralizado, negrito, caixa alta, sem abreviações, até 20 palavras.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Beatriz Souza¹; Carlos Eduardo Lima²; Mariana Alves Ferreira³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¹ Graduando em Enfermagem, Universidade Exemplo, Departamento de Enfermagem, Cidade Exemplo, Minas Gerais, Brasil. ORCID: 0000-0000-0000-0000. E-mail: autor.correspondente@exemplo.com.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² Doutor em Ciências da Saúde, Universidade Exemplo, Departamento de Enfermagem, Cidade Exemplo, Minas Gerais, Brasil. ORCID: 0000-0000-0000-0000.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³ Mestre em Endocrinologia, Hospital Exemplo, Setor de Endocrinologia, Cidade Exemplo, Minas Gerais, Brasil. ORCID: 0000-0000-0000-0000.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1f4e9a" w:space="6" w:sz="18" w:val="single"/>
        </w:pBdr>
        <w:shd w:fill="e8f0fe" w:val="clear"/>
        <w:spacing w:after="120" w:before="60" w:lineRule="auto"/>
        <w:ind w:lef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9a"/>
          <w:sz w:val="20"/>
          <w:szCs w:val="20"/>
          <w:rtl w:val="0"/>
        </w:rPr>
        <w:t xml:space="preserve">Orientação ao autor (apague antes da submissão):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9a"/>
          <w:sz w:val="20"/>
          <w:szCs w:val="20"/>
          <w:rtl w:val="0"/>
        </w:rPr>
        <w:t xml:space="preserve">Autores: Times New Roman 12, justificado, simples. Nome completo, titulação, instituição, setor, cidade, estado, país e ORCID. O primeiro autor é o correspondente (com e-mail).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1f4e9a" w:space="6" w:sz="18" w:val="single"/>
        </w:pBdr>
        <w:shd w:fill="e8f0fe" w:val="clear"/>
        <w:spacing w:after="120" w:before="60" w:lineRule="auto"/>
        <w:ind w:lef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9a"/>
          <w:sz w:val="20"/>
          <w:szCs w:val="20"/>
          <w:rtl w:val="0"/>
        </w:rPr>
        <w:t xml:space="preserve">Orientação ao autor (apague antes da submissão):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9a"/>
          <w:sz w:val="20"/>
          <w:szCs w:val="20"/>
          <w:rtl w:val="0"/>
        </w:rPr>
        <w:t xml:space="preserve">Corpo do texto de 300 a 500 palavras (este tem 358), sem contar título, autores, palavras-chave e referências; Times New Roman 12, justificado, simples. Estudo original: introdução; objetivo; métodos; resultados; discussão; conclusão; 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diabetes mellitus tipo 2 é uma doença crônica caracterizada por hiperglicemia persistente, com cerca de 537 milhões de adultos afetados no mundo em 2021 (1,2). O automonitoramento da glicemia capilar é recomendado, mas seu efeito isolado sobre a hemoglobina glicada em pessoas que não usam insulina é pequeno (3). Assim, é necessário avaliar programas que associem automonitoramento, educação em saúde e acompanhamento de enfermagem.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Avaliar o efeito de um programa estruturado de automonitoramento glicêmico sobre o controle metabólico e a adesão ao tratamento de pessoas com diabetes mellitus tipo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Estudo quase-experimental, do tipo antes e depois, realizado em uma unidade básica de saúde, entre março e setembro de 2026. A amostra de 214 adultos foi calculada pela fórmula de Cochran (4), com confiança de 95% e erro de 5%. Incluíram-se adultos com diabetes há pelo menos um ano, sem uso de insulina. O programa consistiu em educação em saúde, orientação sobre glicemia capilar e consultas mensais de enfermagem. A hemoglobina glicada foi dosada no início e aos seis meses, e a adesão foi avaliada pelo teste de Morisky-Green (5). Aplicaram-se teste t pareado e teste de McNemar, com significância de 5%. O estudo foi aprovado por Comitê de Ética em Pesquisa, com Termo de Consentimento Livre e Esclarecido, conforme a Resolução nº 466/2012 (6).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Participaram 214 pessoas, 58,9% do sexo feminino, com média de idade de 58,4 anos. A hemoglobina glicada média reduziu de 8,3% para 7,5% após seis meses (p&lt;0,001). A alta adesão aumentou de 39,7% para 63,1% (p&lt;0,001). A principal dificuldade relatada foi o custo das fitas reagentes (45,8%).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redução observada é clinicamente relevante, pois metas inferiores a 7% são recomendadas para muitos adultos sem risco elevado de hipoglicemia (7), e é maior que o efeito pequeno descrito para o automonitoramento isolado (3). Isso sugere que a educação em saúde e o acompanhamento de enfermagem contribuíram para a melhora. São limitações a ausência de grupo-controle e a avaliação autorreferida da adesão.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programa associou-se à redução da hemoglobina glicada e ao aumento da adesão ao tratamento, atendendo ao objetivo proposto. Recomendam-se estudos com grupo-controle e ações que garantam o acesso às fitas reagentes.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Diabetes Mellitus Tipo 2; Automonitorização da Glicemia; Hemoglobina A Glicada; Cooperação e Adesão ao Tratamento; Atenção Primária à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1f4e9a" w:space="6" w:sz="18" w:val="single"/>
        </w:pBdr>
        <w:shd w:fill="e8f0fe" w:val="clear"/>
        <w:spacing w:after="120" w:before="60" w:lineRule="auto"/>
        <w:ind w:lef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9a"/>
          <w:sz w:val="20"/>
          <w:szCs w:val="20"/>
          <w:rtl w:val="0"/>
        </w:rPr>
        <w:t xml:space="preserve">Orientação ao autor (apague antes da submissão):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9a"/>
          <w:sz w:val="20"/>
          <w:szCs w:val="20"/>
          <w:rtl w:val="0"/>
        </w:rPr>
        <w:t xml:space="preserve">Palavras-chave: 3 a 5 termos DeCS/MeSH, separados por ponto e vírgula (;).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1f4e9a" w:space="6" w:sz="18" w:val="single"/>
        </w:pBdr>
        <w:shd w:fill="e8f0fe" w:val="clear"/>
        <w:spacing w:after="120" w:before="60" w:lineRule="auto"/>
        <w:ind w:left="1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9a"/>
          <w:sz w:val="20"/>
          <w:szCs w:val="20"/>
          <w:rtl w:val="0"/>
        </w:rPr>
        <w:t xml:space="preserve">Orientação ao autor (apague antes da submissão):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e9a"/>
          <w:sz w:val="20"/>
          <w:szCs w:val="20"/>
          <w:rtl w:val="0"/>
        </w:rPr>
        <w:t xml:space="preserve">ABNT NBR 6023:2025, numeradas na ordem de citação, alinhadas à esquerda, espaçamento simples, SOBRENOME em caixa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5" w:right="0" w:hanging="4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SOCIEDADE BRASILEIRA DE DIABETES.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Diretriz da Sociedade Brasileira de Diabetes 2023-2024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São Paulo: Clannad Editora Científica, 2023.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5" w:right="0" w:hanging="4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DIABETES FEDERATION.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IDF Diabetes Atlas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10. ed. Bruxelas: International Diabetes Federation, 2021. Disponível em: https://diabetesatlas.org. Acesso em: 08 out. 2026.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5" w:right="0" w:hanging="4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MALANDA, Uriëll 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Self-monitoring of blood glucose in patients with type 2 diabetes mellitus who are not using insulin.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Cochrane Database of Systematic Reviews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Chichester, n. 1, CD005060, 2012.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5" w:right="0" w:hanging="4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COCHRAN, William 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Sampling techniques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3. ed. Nova York: John Wiley &amp; Sons, 1977.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5" w:right="0" w:hanging="4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MORISKY, Donald E.; GREEN, Lawrence W.; LEVINE, David M. Concurrent and predictive validity of a self-reported measure of medication adherence.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Filadélfia, v. 24, n. 1, p. 67-74, 1986.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5" w:right="0" w:hanging="4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BRASIL. Conselho Nacional de Saúde.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Resolução nº 466, de 12 de dezembro de 2012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Aprova diretrizes e normas regulamentadoras de pesquisas envolvendo seres humanos. Brasília, DF: CNS, 2012.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5" w:right="0" w:hanging="4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DIABETES ASSOCIATION PROFESSIONAL PRACTICE COMMITTEE. 6. Glycemic goals and hypoglycemia: standards of care in diabetes-2024.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Diabetes Care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Alexandria, v. 47, supl. 1, p. S111-S125, 2024.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4" w:w="11909" w:orient="portrait"/>
      <w:pgMar w:bottom="1133" w:top="2097" w:left="1700" w:right="11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-1084261</wp:posOffset>
              </wp:positionH>
              <wp:positionV relativeFrom="paragraph">
                <wp:posOffset>-10071498</wp:posOffset>
              </wp:positionV>
              <wp:extent cx="1314450" cy="378460"/>
              <wp:effectExtent b="0" l="0" r="0" t="0"/>
              <wp:wrapNone/>
              <wp:docPr descr="Informação Interna"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693538" y="3595533"/>
                        <a:ext cx="13049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Informação Interna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-1084261</wp:posOffset>
              </wp:positionH>
              <wp:positionV relativeFrom="paragraph">
                <wp:posOffset>-10071498</wp:posOffset>
              </wp:positionV>
              <wp:extent cx="1314450" cy="378460"/>
              <wp:effectExtent b="0" l="0" r="0" t="0"/>
              <wp:wrapNone/>
              <wp:docPr descr="Informação Interna" id="5" name="image6.png"/>
              <a:graphic>
                <a:graphicData uri="http://schemas.openxmlformats.org/drawingml/2006/picture">
                  <pic:pic>
                    <pic:nvPicPr>
                      <pic:cNvPr descr="Informação Interna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0" cy="378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-1084261</wp:posOffset>
              </wp:positionH>
              <wp:positionV relativeFrom="paragraph">
                <wp:posOffset>-10071498</wp:posOffset>
              </wp:positionV>
              <wp:extent cx="1314450" cy="378460"/>
              <wp:effectExtent b="0" l="0" r="0" t="0"/>
              <wp:wrapNone/>
              <wp:docPr descr="Informação Interna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93538" y="3595533"/>
                        <a:ext cx="13049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Informação Interna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-1084261</wp:posOffset>
              </wp:positionH>
              <wp:positionV relativeFrom="paragraph">
                <wp:posOffset>-10071498</wp:posOffset>
              </wp:positionV>
              <wp:extent cx="1314450" cy="378460"/>
              <wp:effectExtent b="0" l="0" r="0" t="0"/>
              <wp:wrapNone/>
              <wp:docPr descr="Informação Interna" id="2" name="image3.png"/>
              <a:graphic>
                <a:graphicData uri="http://schemas.openxmlformats.org/drawingml/2006/picture">
                  <pic:pic>
                    <pic:nvPicPr>
                      <pic:cNvPr descr="Informação Interna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0" cy="378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-1084261</wp:posOffset>
              </wp:positionH>
              <wp:positionV relativeFrom="paragraph">
                <wp:posOffset>-10071498</wp:posOffset>
              </wp:positionV>
              <wp:extent cx="1314450" cy="378460"/>
              <wp:effectExtent b="0" l="0" r="0" t="0"/>
              <wp:wrapNone/>
              <wp:docPr descr="Informação Interna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93538" y="3595533"/>
                        <a:ext cx="13049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Informação Interna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-1084261</wp:posOffset>
              </wp:positionH>
              <wp:positionV relativeFrom="paragraph">
                <wp:posOffset>-10071498</wp:posOffset>
              </wp:positionV>
              <wp:extent cx="1314450" cy="378460"/>
              <wp:effectExtent b="0" l="0" r="0" t="0"/>
              <wp:wrapNone/>
              <wp:docPr descr="Informação Interna" id="3" name="image4.png"/>
              <a:graphic>
                <a:graphicData uri="http://schemas.openxmlformats.org/drawingml/2006/picture">
                  <pic:pic>
                    <pic:nvPicPr>
                      <pic:cNvPr descr="Informação Interna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0" cy="378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314450" cy="378460"/>
              <wp:effectExtent b="0" l="0" r="0" t="0"/>
              <wp:wrapNone/>
              <wp:docPr descr="Informação Interna"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93538" y="3595533"/>
                        <a:ext cx="13049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Informação Interna</w:t>
                          </w:r>
                        </w:p>
                      </w:txbxContent>
                    </wps:txbx>
                    <wps:bodyPr anchorCtr="0" anchor="t" bIns="0" lIns="25400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314450" cy="378460"/>
              <wp:effectExtent b="0" l="0" r="0" t="0"/>
              <wp:wrapNone/>
              <wp:docPr descr="Informação Interna" id="4" name="image5.png"/>
              <a:graphic>
                <a:graphicData uri="http://schemas.openxmlformats.org/drawingml/2006/picture">
                  <pic:pic>
                    <pic:nvPicPr>
                      <pic:cNvPr descr="Informação Interna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0" cy="378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7200</wp:posOffset>
          </wp:positionH>
          <wp:positionV relativeFrom="page">
            <wp:posOffset>-28796</wp:posOffset>
          </wp:positionV>
          <wp:extent cx="7577138" cy="1069657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138" cy="10696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314450" cy="378460"/>
              <wp:effectExtent b="0" l="0" r="0" t="0"/>
              <wp:wrapNone/>
              <wp:docPr descr="Informação Interna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93538" y="3595533"/>
                        <a:ext cx="130492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Informação Interna</w:t>
                          </w:r>
                        </w:p>
                      </w:txbxContent>
                    </wps:txbx>
                    <wps:bodyPr anchorCtr="0" anchor="t" bIns="0" lIns="25400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314450" cy="378460"/>
              <wp:effectExtent b="0" l="0" r="0" t="0"/>
              <wp:wrapNone/>
              <wp:docPr descr="Informação Interna" id="1" name="image2.png"/>
              <a:graphic>
                <a:graphicData uri="http://schemas.openxmlformats.org/drawingml/2006/picture">
                  <pic:pic>
                    <pic:nvPicPr>
                      <pic:cNvPr descr="Informação Interna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14450" cy="378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294c2e04,464a3306,adc205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Informação Interna</vt:lpwstr>
  </property>
  <property fmtid="{D5CDD505-2E9C-101B-9397-08002B2CF9AE}" pid="5" name="ClassificationContentMarkingFooterShapeIds">
    <vt:lpwstr>a6e6b50,718f6e6a,2599da1b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Informação Interna</vt:lpwstr>
  </property>
</Properties>
</file>