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2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gridCol w:w="4140"/>
        <w:tblGridChange w:id="0">
          <w:tblGrid>
            <w:gridCol w:w="10380"/>
            <w:gridCol w:w="414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f8f9fa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93.3333333333335"/>
              <w:gridCol w:w="3393.3333333333335"/>
              <w:gridCol w:w="3393.3333333333335"/>
              <w:tblGridChange w:id="0">
                <w:tblGrid>
                  <w:gridCol w:w="3393.3333333333335"/>
                  <w:gridCol w:w="3393.3333333333335"/>
                  <w:gridCol w:w="339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highlight w:val="white"/>
                      <w:rtl w:val="0"/>
                    </w:rPr>
                    <w:t xml:space="preserve">анализирует код, требования и дизайн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202124"/>
                      <w:sz w:val="24"/>
                      <w:szCs w:val="24"/>
                      <w:highlight w:val="white"/>
                      <w:rtl w:val="0"/>
                    </w:rPr>
                    <w:t xml:space="preserve">анализирует функциональность в целом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требует запуска программа или приложения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требует запуск программного кода</w:t>
                  </w:r>
                </w:p>
              </w:tc>
            </w:tr>
            <w:tr>
              <w:trPr>
                <w:cantSplit w:val="0"/>
                <w:trHeight w:val="522.3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дает возможность найти ошибки на ранних этапах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анализирует поведение программы во время ее работы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процесс выявления и исправления дефектов в документации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проверяет функциональность программы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выполняется вручную и может занимать много времени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высокая стоимость проведения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предотвращает появление дефектов на последних этапах разработки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благодаря непосредственному выполнению тестов ПО, команда может проверить и подтвердить качество и эффективность ПО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f8f9fa" w:space="0" w:sz="8" w:val="single"/>
              <w:left w:color="f8f9fa" w:space="0" w:sz="8" w:val="single"/>
              <w:bottom w:color="f8f9fa" w:space="0" w:sz="8" w:val="single"/>
              <w:right w:color="f8f9f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4 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f8f9fa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1" w:date="2023-03-01T16:40:50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Vitaliy Rohovyk" w:id="2" w:date="2023-03-01T16:41:07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Vitaliy Rohovyk" w:id="0" w:date="2023-03-01T16:40:06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