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70.0" w:type="dxa"/>
        <w:jc w:val="left"/>
        <w:tblInd w:w="-3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170"/>
        <w:tblGridChange w:id="0">
          <w:tblGrid>
            <w:gridCol w:w="10170"/>
          </w:tblGrid>
        </w:tblGridChange>
      </w:tblGrid>
      <w:tr>
        <w:trPr>
          <w:cantSplit w:val="0"/>
          <w:trHeight w:val="524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Must have рівень: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Система контролю за швидкістю руху має наступні характеристики:</w:t>
            </w:r>
            <w:sdt>
              <w:sdtPr>
                <w:tag w:val="goog_rdk_0"/>
              </w:sdtPr>
              <w:sdtContent>
                <w:commentRangeStart w:id="0"/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при швидкості 50 і менше км/год – система не реагує</w:t>
            </w:r>
          </w:p>
          <w:p w:rsidR="00000000" w:rsidDel="00000000" w:rsidP="00000000" w:rsidRDefault="00000000" w:rsidRPr="00000000" w14:paraId="00000006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при швидкості більше ніж 50, але менше ніж 55 км/год – система видає попередження</w:t>
            </w:r>
          </w:p>
          <w:p w:rsidR="00000000" w:rsidDel="00000000" w:rsidP="00000000" w:rsidRDefault="00000000" w:rsidRPr="00000000" w14:paraId="00000007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при швидкості більше ніж 55, але менше ніж 60 км/год – система випише штраф</w:t>
            </w:r>
          </w:p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при швидкості більше, ніж 60 км/год – водій отримає штраф та штрафний бал у водійське посвідчення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Швидкість в системі вимірюється цілими значеннями. Який з наборів тестових даних можна використати для перевірки всіх граничних значень еквівалентних класів? 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0, 49, 50, 54, 59, 60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50, 55, 60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49, 50, 54, 55, 60, 62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50, 51, 55, 56, 60, 61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Фітнес застосунок рахує кількість кроків і надсилає користувачам повідомлення, щоб заохотити їх рухатися. В залежності від кількості кроків фідбек буде таким: 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до 1000 кроків включно – “Житель дивана”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від 1000 до 2000 кроків включно – “Лежибока”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від 2000 до 4000 кроків включно – “Рухай тілом!”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від 4000 до 6000 кроків включно – “Непогано!”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ubik" w:cs="Rubik" w:eastAsia="Rubik" w:hAnsi="Rubik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більше 6000 – “Молодець, так тримати!”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Який набір тестових даних надасть найкраще покриття класів еквівалентності?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0, 1000, 2000, 3000, 4000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1000, 2001, 4000, 4001, 6000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123, 2345, 3456, 4567, 5678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666, 999, 2222, 5555, 6666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- но меня смущает 999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Середній рівень: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Виконай завдання попереднього рівня.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Пристрій, що вимірює час та інтенсивність сонячного світла, яке отримала рослина, рахує комбінацію параметрів – час на сонці (менше ніж 3 години, від 3 до 6 годин та понад 6 годин) та інтенсивність світла (дуже низька, низька, середня, висока). 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Є наступний набір тестів: 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6495.0" w:type="dxa"/>
              <w:jc w:val="left"/>
              <w:tblInd w:w="1095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75"/>
              <w:gridCol w:w="1125"/>
              <w:gridCol w:w="1860"/>
              <w:gridCol w:w="2535"/>
              <w:tblGridChange w:id="0">
                <w:tblGrid>
                  <w:gridCol w:w="975"/>
                  <w:gridCol w:w="1125"/>
                  <w:gridCol w:w="1860"/>
                  <w:gridCol w:w="253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Години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Інтенсивність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Індекс опромінення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 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1,5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дуже низька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 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середня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60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 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0,5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дуже низька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10</w:t>
                  </w:r>
                </w:p>
              </w:tc>
            </w:tr>
          </w:tbl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Яка </w:t>
            </w: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мінімальна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кількість додаткових тест-кейсів потрібна, щоб упевнитися, що всі валідні класи еквівалентності покриті?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Застосунок для відтворення відео має вимоги. Застосунок буде працювати на пристроях з такою розподільчою здатністю: 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640x480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1280x720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1600x1200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1920x1080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Який тест-кейс є результатом застосування техніки розподілення на класи еквівалентності? Обгрунтуй свою відповідь.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Перевірити, що застосунок відтворює відео на дисплеї 1920х1080 (1 тест-кейс)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Перевірити, що застосунок відтворює відео на дисплеї 640х480 та 1920х1080 (2 тест-кейси)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Перевірити, що застосунок відтворює відео на дисплеях всіх розмірів, вказаних у вимогах (4 тест-кейси) - 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 нашем случае получается 4 класса эквивалентности и мы должны проверить хотя бы по одному значению из каждого класса и убедиться, что система работает и всё ок. Таким образом, на каждый из указанных в требованиях размерах, по одному тест-кейсу.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Перевірити, що застосунок відтворює відео на дисплеї будь-якого розміру, що вказані у вимогах (1 тест-кейс)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0.12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Програма максимум: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Виконай завдання двох попередніх рівнів.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Продовжуємо розвивати стартап для застосунку, який дозволяє обмінюватися фотографіями котиків.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Напиши вимоги для застосунку, які б регламентували мінімальний та максимальний розмір фотографії, що користувачі можуть завантажити в систему. А також такі параметри: мінімальна довжина коментаря під фотографіями, максимальна довжина коментаря під фотографіями (чим більше параметрів ти придумаєш, тим краще).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Напиши тест-кейси, які за допомогою розділення на класи еквівалентності та аналіз граничних значень, дозволять перевірити ці вимоги.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Vitaliy Rohovyk" w:id="0" w:date="2023-03-06T16:29:13Z"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тести гуд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55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ubik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unito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spacing w:line="276" w:lineRule="auto"/>
      <w:jc w:val="right"/>
      <w:rPr/>
    </w:pPr>
    <w:r w:rsidDel="00000000" w:rsidR="00000000" w:rsidRPr="00000000">
      <w:rPr/>
      <w:drawing>
        <wp:inline distB="114300" distT="114300" distL="114300" distR="114300">
          <wp:extent cx="1176338" cy="476368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76338" cy="47636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ubik-regular.ttf"/><Relationship Id="rId2" Type="http://schemas.openxmlformats.org/officeDocument/2006/relationships/font" Target="fonts/Rubik-bold.ttf"/><Relationship Id="rId3" Type="http://schemas.openxmlformats.org/officeDocument/2006/relationships/font" Target="fonts/Rubik-italic.ttf"/><Relationship Id="rId4" Type="http://schemas.openxmlformats.org/officeDocument/2006/relationships/font" Target="fonts/Rubik-boldItalic.ttf"/><Relationship Id="rId5" Type="http://schemas.openxmlformats.org/officeDocument/2006/relationships/font" Target="fonts/NunitoSans-regular.ttf"/><Relationship Id="rId6" Type="http://schemas.openxmlformats.org/officeDocument/2006/relationships/font" Target="fonts/NunitoSans-bold.ttf"/><Relationship Id="rId7" Type="http://schemas.openxmlformats.org/officeDocument/2006/relationships/font" Target="fonts/NunitoSans-italic.ttf"/><Relationship Id="rId8" Type="http://schemas.openxmlformats.org/officeDocument/2006/relationships/font" Target="fonts/Nuni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51WfpRoKKDLecKW+vj1wGcP/qBQ==">AMUW2mXxqUC2tuOPWQij/8NuNnppuhGbkzbTxRgtAqE+mJPxKIYQ/QxLEeq+fWpwiKFhHElg27Ru9fZ62iQK6SEkwV4f/NT4GusD77vPrpbgOp/K0Hw0S2WkPCKLTMt8qsmfixT7KDG5+5khW2fSvGXQ7GytGKJc9rGL/BWNy8RjOayq0WZvOd/q4LqmXP45bCHIKVcVrtoG9fUhSz0B3feSu2j6moDT6zCUXDvYuPkfOTnV8HejiSkD4ny6OpdUMX66ydd1OaRIN3JcahiS5l4JjwycFUgqBCHuNjo0vQDrE7JmxeYkbi5wO0kuOb3/UpBg9/9lWpUIqgZtGUtnytCXk7vkB4i6Qkzu5UNl2Lcon93aBQA1debu3jdhcHw47DrRpz4sz3pdfAYua6OZjJU/0eW7BhZFg/BlxJlAImQYIR5uV9RxXYLgEicZBfCebj17fj7iBQ802YDo7Qq9C6RRLML/EPExu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