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30"/>
              <w:gridCol w:w="3615"/>
              <w:gridCol w:w="4095"/>
              <w:tblGridChange w:id="0">
                <w:tblGrid>
                  <w:gridCol w:w="1830"/>
                  <w:gridCol w:w="3615"/>
                  <w:gridCol w:w="4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Методика тестування при якій ПЗ тестується без запуску коду. Процес або техніка які виконуються для пошуку потенційних дефектів в програмному забезпеченні. Це також процес виявлення і усунення помилок і дефектів в різних супровідних документах, таких як специфікації вимог до програмного забезпечення і т. ін.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Методика тестування при якій перевіряється функціональність програми шляхом фактичного запуску / використання програми і визначення того, чи працює функціональність так, як очікується.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 Зниження вартості виправлення знайдених дефектів, оскільки виявляє їх на ранніх етапах циклу розробки ПЗ.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Розглядає всю функціональність програми, тому якість відповідає найвищим стандартам.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hd w:fill="ffffff" w:val="clear"/>
                    <w:spacing w:after="16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 Зменшення зусиль по виправленню помилок, що ще більше сприяє продуктивності розробки.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Процес динамічного тестування добре налагоджений, ПЗ тестується з точки зору користувача, що підвищує якість продукту.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hd w:fill="ffffff" w:val="clear"/>
                    <w:spacing w:after="28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 Підвищення інформованості  про різні проблеми якості ПЗ.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hd w:fill="ffffff" w:val="clear"/>
                    <w:spacing w:after="16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Може бути автоматизована за допомогою спеціальних інструментів.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hd w:fill="ffffff" w:val="clear"/>
                    <w:spacing w:after="1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Перешкоджає виявленню вразливостей, представлених в середовищі виконання.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Важче відстежити вразливість до точного місця в коді, усунення проблеми займає більше часу.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 - Не вистачає навченого персоналу для ретельного проведення статичного аналізу коду.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640"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highlight w:val="white"/>
                      <w:rtl w:val="0"/>
                    </w:rPr>
                    <w:t xml:space="preserve">Немає достатньо навченого персоналу для ретельного проведення динамічного аналізу коду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 Займає багато часу, якщо проводиться вручну.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520" w:line="240" w:lineRule="auto"/>
                    <w:ind w:left="0" w:firstLine="0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-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393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figma.com/figjam/" TargetMode="External"/><Relationship Id="rId8" Type="http://schemas.openxmlformats.org/officeDocument/2006/relationships/hyperlink" Target="https://mir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