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color w:val="888888"/>
          <w:sz w:val="18"/>
          <w:szCs w:val="18"/>
        </w:rPr>
        <w:t xml:space="preserve">DATA VISUALIZATION — PROJECT PROPOSAL</w:t>
      </w:r>
    </w:p>
    <w:p>
      <w:pPr>
        <w:spacing w:after="60" w:before="0"/>
        <w:jc w:val="center"/>
      </w:pPr>
      <w:r>
        <w:rPr>
          <w:b/>
          <w:bCs/>
          <w:color w:val="1A1A1A"/>
          <w:sz w:val="46"/>
          <w:szCs w:val="46"/>
        </w:rPr>
        <w:t xml:space="preserve">Does AI Boost Grades While Undermining</w:t>
      </w:r>
    </w:p>
    <w:p>
      <w:pPr>
        <w:spacing w:after="100" w:before="0"/>
        <w:jc w:val="center"/>
      </w:pPr>
      <w:r>
        <w:rPr>
          <w:b/>
          <w:bCs/>
          <w:color w:val="1A1A1A"/>
          <w:sz w:val="46"/>
          <w:szCs w:val="46"/>
        </w:rPr>
        <w:t xml:space="preserve">Real Understanding?</w:t>
      </w:r>
    </w:p>
    <w:p>
      <w:pPr>
        <w:spacing w:after="160" w:before="0"/>
        <w:jc w:val="center"/>
      </w:pPr>
      <w:r>
        <w:rPr>
          <w:i/>
          <w:iCs/>
          <w:color w:val="444444"/>
          <w:sz w:val="26"/>
          <w:szCs w:val="26"/>
        </w:rPr>
        <w:t xml:space="preserve">The Paradox of Artificial Performance</w:t>
      </w:r>
    </w:p>
    <w:p>
      <w:pPr>
        <w:spacing w:after="0" w:before="0"/>
        <w:jc w:val="center"/>
      </w:pPr>
      <w:r>
        <w:rPr>
          <w:i/>
          <w:iCs/>
          <w:color w:val="444444"/>
          <w:sz w:val="26"/>
          <w:szCs w:val="26"/>
        </w:rPr>
        <w:t xml:space="preserve">Francesco Bianchi                                   Hassan Faour</w:t>
      </w:r>
    </w:p>
    <w:p>
      <w:pPr>
        <w:spacing w:after="160" w:before="0"/>
        <w:jc w:val="center"/>
      </w:pPr>
      <w:r>
        <w:rPr>
          <w:i/>
          <w:iCs/>
          <w:color w:val="444444"/>
          <w:sz w:val="26"/>
          <w:szCs w:val="26"/>
        </w:rPr>
        <w:t xml:space="preserve">Student number: 264692                          Student number: 265917</w:t>
      </w:r>
    </w:p>
    <w:p>
      <w:pPr>
        <w:spacing w:after="40" w:before="0"/>
        <w:jc w:val="center"/>
      </w:pPr>
      <w:r>
        <w:rPr>
          <w:color w:val="444444"/>
          <w:sz w:val="20"/>
          <w:szCs w:val="20"/>
        </w:rPr>
        <w:t xml:space="preserve">Deliverable 1 — Data Visualization Proposal</w:t>
      </w:r>
    </w:p>
    <w:p>
      <w:pPr>
        <w:spacing w:after="40" w:before="0"/>
        <w:jc w:val="center"/>
      </w:pPr>
      <w:r>
        <w:rPr>
          <w:color w:val="444444"/>
          <w:sz w:val="20"/>
          <w:szCs w:val="20"/>
        </w:rPr>
        <w:t xml:space="preserve">Visualization format: Interactive Dashboard (Python / Plotly Dash)</w:t>
      </w:r>
    </w:p>
    <w:p>
      <w:pPr>
        <w:spacing w:after="1600" w:before="0"/>
        <w:jc w:val="center"/>
      </w:pPr>
      <w:r>
        <w:rPr>
          <w:color w:val="444444"/>
          <w:sz w:val="20"/>
          <w:szCs w:val="20"/>
        </w:rPr>
        <w:t xml:space="preserve">Academic Year 2025–2026</w:t>
      </w:r>
    </w:p>
    <w:p>
      <w:pPr>
        <w:spacing w:after="120" w:before="400"/>
      </w:pPr>
      <w:r>
        <w:rPr>
          <w:b/>
          <w:bCs/>
          <w:color w:val="1A1A1A"/>
          <w:sz w:val="24"/>
          <w:szCs w:val="24"/>
        </w:rPr>
        <w:t xml:space="preserve">1. PROJECT IDEA DESCRIPTION</w:t>
      </w:r>
    </w:p>
    <w:p>
      <w:pPr>
        <w:spacing w:after="80" w:before="280"/>
      </w:pPr>
      <w:r>
        <w:rPr>
          <w:b/>
          <w:bCs/>
          <w:color w:val="1A1A1A"/>
          <w:sz w:val="22"/>
          <w:szCs w:val="22"/>
        </w:rPr>
        <w:t xml:space="preserve">1.1  Topic and Motivating Question</w:t>
      </w:r>
    </w:p>
    <w:p>
      <w:pPr>
        <w:spacing w:after="120" w:before="0"/>
        <w:jc w:val="both"/>
      </w:pPr>
      <w:r>
        <w:rPr>
          <w:color w:val="1A1A1A"/>
          <w:sz w:val="20"/>
          <w:szCs w:val="20"/>
        </w:rPr>
        <w:t xml:space="preserve">The widespread adoption of AI tools in education has generated a persistent and optimistic narrative: students who use AI perform better. Grade averages go up, assignments get completed faster, and access to information is immediate. But a more uncomfortable question rarely gets asked —</w:t>
      </w:r>
    </w:p>
    <w:p>
      <w:pPr>
        <w:spacing w:after="120" w:before="120"/>
        <w:ind w:left="720" w:right="720"/>
        <w:jc w:val="center"/>
      </w:pPr>
      <w:r>
        <w:rPr>
          <w:i/>
          <w:iCs/>
          <w:color w:val="444444"/>
          <w:sz w:val="21"/>
          <w:szCs w:val="21"/>
        </w:rPr>
        <w:t xml:space="preserve">"Does AI genuinely deepen students' understanding, or does it produce the appearance of competence while eroding the foundations of real learning?"</w:t>
      </w:r>
    </w:p>
    <w:p>
      <w:pPr>
        <w:spacing w:after="120" w:before="0"/>
        <w:jc w:val="both"/>
      </w:pPr>
      <w:r>
        <w:rPr>
          <w:color w:val="1A1A1A"/>
          <w:sz w:val="20"/>
          <w:szCs w:val="20"/>
        </w:rPr>
        <w:t xml:space="preserve">This project builds a data visualization solution centered on this paradox. The central research question is:</w:t>
      </w:r>
    </w:p>
    <w:p>
      <w:pPr>
        <w:spacing w:after="120" w:before="60"/>
        <w:jc w:val="center"/>
      </w:pPr>
      <w:r>
        <w:rPr>
          <w:b/>
          <w:bCs/>
          <w:color w:val="1A1A1A"/>
          <w:sz w:val="22"/>
          <w:szCs w:val="22"/>
        </w:rPr>
        <w:t xml:space="preserve">Does the use of AI tools improve students' academic performance, or does it create a dependency that undermines their real conceptual understanding?</w:t>
      </w:r>
    </w:p>
    <w:p>
      <w:pPr>
        <w:spacing w:after="120" w:before="0"/>
        <w:jc w:val="both"/>
      </w:pPr>
      <w:r>
        <w:rPr>
          <w:color w:val="1A1A1A"/>
          <w:sz w:val="20"/>
          <w:szCs w:val="20"/>
        </w:rPr>
        <w:t xml:space="preserve">The question matters because the two outcomes — higher grades and deeper understanding — are commonly assumed to move together, yet they need not. A student who uses AI heavily may perceive strong grade improvements while reporting only modest gains in critical thinking. The three datasets available offer the variables needed to visualize precisely this tension: ChatGPT usage intensity, perceived grade improvement, perceived critical thinking gain, before/after grade deltas, and self-reported perceptions of AI utility.</w:t>
      </w:r>
    </w:p>
    <w:p>
      <w:pPr>
        <w:spacing w:after="120" w:before="0"/>
        <w:jc w:val="both"/>
      </w:pPr>
      <w:r>
        <w:rPr>
          <w:color w:val="1A1A1A"/>
          <w:sz w:val="20"/>
          <w:szCs w:val="20"/>
        </w:rPr>
        <w:t xml:space="preserve">The topic is relevant to students, educators, and academic policymakers alike. It is timely: universities across Europe and beyond are actively revising their AI usage policies, yet empirical, accessible evidence on the learning trade-offs remains scarce and rarely communicated visually.</w:t>
      </w:r>
    </w:p>
    <w:p>
      <w:pPr>
        <w:spacing w:after="80" w:before="280"/>
      </w:pPr>
      <w:r>
        <w:rPr>
          <w:b/>
          <w:bCs/>
          <w:color w:val="1A1A1A"/>
          <w:sz w:val="22"/>
          <w:szCs w:val="22"/>
        </w:rPr>
        <w:t xml:space="preserve">1.2  Circumstances</w:t>
      </w:r>
    </w:p>
    <w:p>
      <w:pPr>
        <w:spacing w:after="60" w:before="180"/>
      </w:pPr>
      <w:r>
        <w:rPr>
          <w:b/>
          <w:bCs/>
          <w:i/>
          <w:iCs/>
          <w:color w:val="444444"/>
          <w:sz w:val="20"/>
          <w:szCs w:val="20"/>
        </w:rPr>
        <w:t xml:space="preserve">1.2.1  Target Audience</w:t>
      </w:r>
    </w:p>
    <w:p>
      <w:pPr>
        <w:spacing w:after="120" w:before="0"/>
        <w:jc w:val="both"/>
      </w:pPr>
      <w:r>
        <w:rPr>
          <w:color w:val="1A1A1A"/>
          <w:sz w:val="20"/>
          <w:szCs w:val="20"/>
        </w:rPr>
        <w:t xml:space="preserve">The primary audience is university students who use or are considering using AI tools for their studies. A secondary audience consists of educators and academic administrators. No statistical background is assumed: all visualization choices will prioritize interpretability, with raw patterns visible at a glance and deeper analytical layers accessible through interaction.</w:t>
      </w:r>
    </w:p>
    <w:p>
      <w:pPr>
        <w:spacing w:after="60" w:before="180"/>
      </w:pPr>
      <w:r>
        <w:rPr>
          <w:b/>
          <w:bCs/>
          <w:i/>
          <w:iCs/>
          <w:color w:val="444444"/>
          <w:sz w:val="20"/>
          <w:szCs w:val="20"/>
        </w:rPr>
        <w:t xml:space="preserve">1.2.2  Format and Medium</w:t>
      </w:r>
    </w:p>
    <w:p>
      <w:pPr>
        <w:spacing w:after="120" w:before="0"/>
        <w:jc w:val="both"/>
      </w:pPr>
      <w:r>
        <w:rPr>
          <w:color w:val="1A1A1A"/>
          <w:sz w:val="20"/>
          <w:szCs w:val="20"/>
        </w:rPr>
        <w:t xml:space="preserve">The visualization solution will be an interactive web dashboard built with Python and Plotly Dash, served locally (or deployable via a public URL). This format is appropriate for several reasons. First, the research question requires multiple coordinated views: the paradox cannot be communicated through a single chart. Second, the audience benefits from the ability to explore patterns across usage intensity levels, fields of study, and education levels. Third, Python / Plotly Dash is a reproducible, open-source stack well-suited to academic work.</w:t>
      </w:r>
    </w:p>
    <w:p>
      <w:pPr>
        <w:spacing w:after="120" w:before="0"/>
        <w:jc w:val="both"/>
      </w:pPr>
      <w:r>
        <w:rPr>
          <w:color w:val="1A1A1A"/>
          <w:sz w:val="20"/>
          <w:szCs w:val="20"/>
        </w:rPr>
        <w:t xml:space="preserve">The dashboard will be consumed on desktop browsers. It will be designed to be self-explanatory without requiring prior data literacy.</w:t>
      </w:r>
    </w:p>
    <w:p>
      <w:pPr>
        <w:spacing w:after="80" w:before="280"/>
      </w:pPr>
      <w:r>
        <w:rPr>
          <w:b/>
          <w:bCs/>
          <w:color w:val="1A1A1A"/>
          <w:sz w:val="22"/>
          <w:szCs w:val="22"/>
        </w:rPr>
        <w:t xml:space="preserve">1.3  Purpose</w:t>
      </w:r>
    </w:p>
    <w:p>
      <w:pPr>
        <w:spacing w:after="120" w:before="0"/>
        <w:jc w:val="both"/>
      </w:pPr>
      <w:r>
        <w:rPr>
          <w:color w:val="1A1A1A"/>
          <w:sz w:val="20"/>
          <w:szCs w:val="20"/>
        </w:rPr>
        <w:t xml:space="preserve">The primary purposes are to reveal and to compare. Specifically, the dashboard should lead the viewer through the following logical arc:</w:t>
      </w:r>
    </w:p>
    <w:p>
      <w:pPr>
        <w:pStyle w:val="ListParagraph"/>
        <w:numPr>
          <w:ilvl w:val="0"/>
          <w:numId w:val="2"/>
        </w:numPr>
        <w:spacing w:after="40" w:before="40"/>
        <w:jc w:val="both"/>
      </w:pPr>
      <w:r>
        <w:rPr>
          <w:color w:val="1A1A1A"/>
          <w:sz w:val="20"/>
          <w:szCs w:val="20"/>
        </w:rPr>
        <w:t xml:space="preserve">Establish the baseline: how widespread is ChatGPT adoption globally, and how intensively do students use it?</w:t>
      </w:r>
    </w:p>
    <w:p>
      <w:pPr>
        <w:pStyle w:val="ListParagraph"/>
        <w:numPr>
          <w:ilvl w:val="0"/>
          <w:numId w:val="2"/>
        </w:numPr>
        <w:spacing w:after="40" w:before="40"/>
        <w:jc w:val="both"/>
      </w:pPr>
      <w:r>
        <w:rPr>
          <w:color w:val="1A1A1A"/>
          <w:sz w:val="20"/>
          <w:szCs w:val="20"/>
        </w:rPr>
        <w:t xml:space="preserve">Introduce the paradox: does heavier ChatGPT use correlate with higher perceived grade improvement while the perceived gain in critical thinking lags behind — widening the gap between the two?</w:t>
      </w:r>
    </w:p>
    <w:p>
      <w:pPr>
        <w:pStyle w:val="ListParagraph"/>
        <w:numPr>
          <w:ilvl w:val="0"/>
          <w:numId w:val="2"/>
        </w:numPr>
        <w:spacing w:after="40" w:before="40"/>
        <w:jc w:val="both"/>
      </w:pPr>
      <w:r>
        <w:rPr>
          <w:color w:val="1A1A1A"/>
          <w:sz w:val="20"/>
          <w:szCs w:val="20"/>
        </w:rPr>
        <w:t xml:space="preserve">Quantify dependency: which tasks are associated with intensive use, and how does the relationship between perceived grade gains, critical thinking gains, and concern about AI hindering learning evolve with intensity?</w:t>
      </w:r>
    </w:p>
    <w:p>
      <w:pPr>
        <w:pStyle w:val="ListParagraph"/>
        <w:numPr>
          <w:ilvl w:val="0"/>
          <w:numId w:val="2"/>
        </w:numPr>
        <w:spacing w:after="40" w:before="40"/>
        <w:jc w:val="both"/>
      </w:pPr>
      <w:r>
        <w:rPr>
          <w:color w:val="1A1A1A"/>
          <w:sz w:val="20"/>
          <w:szCs w:val="20"/>
        </w:rPr>
        <w:t xml:space="preserve">Add the longitudinal evidence: does AI adoption produce measurable before/after grade improvements, and does the purpose of use moderate the delta?</w:t>
      </w:r>
    </w:p>
    <w:p>
      <w:pPr>
        <w:pStyle w:val="ListParagraph"/>
        <w:numPr>
          <w:ilvl w:val="0"/>
          <w:numId w:val="2"/>
        </w:numPr>
        <w:spacing w:after="40" w:before="40"/>
        <w:jc w:val="both"/>
      </w:pPr>
      <w:r>
        <w:rPr>
          <w:color w:val="1A1A1A"/>
          <w:sz w:val="20"/>
          <w:szCs w:val="20"/>
        </w:rPr>
        <w:t xml:space="preserve">Close with the perceptual layer: do students themselves perceive this trade-off, or do they consistently view AI as beneficial?</w:t>
      </w:r>
    </w:p>
    <w:p>
      <w:pPr>
        <w:spacing w:after="40" w:before="60"/>
      </w:pPr>
    </w:p>
    <w:p>
      <w:pPr>
        <w:spacing w:after="120" w:before="0"/>
        <w:jc w:val="both"/>
      </w:pPr>
      <w:r>
        <w:rPr>
          <w:color w:val="1A1A1A"/>
          <w:sz w:val="20"/>
          <w:szCs w:val="20"/>
        </w:rPr>
        <w:t xml:space="preserve">The key takeaway the audience should leave with is not a simple verdict in favour of or against AI, but rather an understanding that the effect of AI on learning is heterogeneous and depends critically on how it is used and how dependent the student becomes on it.</w:t>
      </w:r>
    </w:p>
    <w:p>
      <w:pPr>
        <w:spacing w:after="120" w:before="400"/>
      </w:pPr>
      <w:r>
        <w:rPr>
          <w:b/>
          <w:bCs/>
          <w:color w:val="1A1A1A"/>
          <w:sz w:val="24"/>
          <w:szCs w:val="24"/>
        </w:rPr>
        <w:t xml:space="preserve">2. PROJECT DATA</w:t>
      </w:r>
    </w:p>
    <w:p>
      <w:pPr>
        <w:spacing w:after="80" w:before="280"/>
      </w:pPr>
      <w:r>
        <w:rPr>
          <w:b/>
          <w:bCs/>
          <w:color w:val="1A1A1A"/>
          <w:sz w:val="22"/>
          <w:szCs w:val="22"/>
        </w:rPr>
        <w:t xml:space="preserve">2.1  Dataset Overview</w:t>
      </w:r>
    </w:p>
    <w:p>
      <w:pPr>
        <w:spacing w:after="120" w:before="0"/>
        <w:jc w:val="both"/>
      </w:pPr>
      <w:r>
        <w:rPr>
          <w:color w:val="1A1A1A"/>
          <w:sz w:val="20"/>
          <w:szCs w:val="20"/>
        </w:rPr>
        <w:t xml:space="preserve">Three datasets are used in this project. Each contributes a distinct analytical layer to the central question and together they allow the dashboard to move from large-scale real evidence to longitudinal grade comparisons to in-depth attitudinal data.</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5860"/>
      </w:tblGrid>
      <w:tr>
        <w:tc>
          <w:tcPr>
            <w:tcW w:type="dxa" w:w="27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both"/>
            </w:pPr>
            <w:r>
              <w:rPr>
                <w:b/>
                <w:bCs/>
                <w:color w:val="FFFFFF"/>
                <w:sz w:val="18"/>
                <w:szCs w:val="18"/>
              </w:rPr>
              <w:t xml:space="preserve">Dataset</w:t>
            </w:r>
          </w:p>
        </w:tc>
        <w:tc>
          <w:tcPr>
            <w:tcW w:type="dxa" w:w="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both"/>
            </w:pPr>
            <w:r>
              <w:rPr>
                <w:b/>
                <w:bCs/>
                <w:color w:val="FFFFFF"/>
                <w:sz w:val="18"/>
                <w:szCs w:val="18"/>
              </w:rPr>
              <w:t xml:space="preserve">N</w:t>
            </w:r>
          </w:p>
        </w:tc>
        <w:tc>
          <w:tcPr>
            <w:tcW w:type="dxa" w:w="58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both"/>
            </w:pPr>
            <w:r>
              <w:rPr>
                <w:b/>
                <w:bCs/>
                <w:color w:val="FFFFFF"/>
                <w:sz w:val="18"/>
                <w:szCs w:val="18"/>
              </w:rPr>
              <w:t xml:space="preserve">Role in the Project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Aristovnik et al. (2024) — Global ChatGPT Student Survey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23,218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Primary quantitative backbone: ChatGPT usage intensity, perceived grade improvement, perceived critical thinking gain, emotional responses, ethical concerns — real data from 109 countries</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Survey_AI</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91</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Perceptual layer: student attitudes, feelings toward AI, perceived utility and disadvantages in education — real data from Faculty of Cybernetics, Statistics &amp; Economic Informatics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students_ai_usage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100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Before/after grade comparison: direct measurement of grade changes following AI adoption, broken down by purpose of use and education level</w:t>
            </w:r>
          </w:p>
        </w:tc>
      </w:tr>
    </w:tbl>
    <w:p>
      <w:pPr>
        <w:spacing w:after="80" w:before="40"/>
        <w:jc w:val="center"/>
      </w:pPr>
      <w:r>
        <w:rPr>
          <w:i/>
          <w:iCs/>
          <w:color w:val="888888"/>
          <w:sz w:val="17"/>
          <w:szCs w:val="17"/>
        </w:rPr>
        <w:t xml:space="preserve">Table 1. Summary of the three datasets used in the project.</w:t>
      </w:r>
    </w:p>
    <w:p>
      <w:pPr>
        <w:spacing w:after="60" w:before="180"/>
      </w:pPr>
      <w:r>
        <w:rPr>
          <w:b/>
          <w:bCs/>
          <w:i/>
          <w:iCs/>
          <w:color w:val="444444"/>
          <w:sz w:val="20"/>
          <w:szCs w:val="20"/>
        </w:rPr>
        <w:t xml:space="preserve">Dataset 1 — Aristovnik et al. (2024), Global ChatGPT Student Survey</w:t>
      </w:r>
    </w:p>
    <w:p>
      <w:pPr>
        <w:spacing w:after="120" w:before="0"/>
        <w:jc w:val="both"/>
      </w:pPr>
      <w:r>
        <w:rPr>
          <w:color w:val="1A1A1A"/>
          <w:sz w:val="20"/>
          <w:szCs w:val="20"/>
        </w:rPr>
        <w:t xml:space="preserve">This is the primary dataset. It contains responses from 23,218 higher education students across 109 countries and territories, collected between October 2023 and February 2024 as part of the CovidSocLab Global ChatGPT Student Survey (Ravšelj, Aristovnik et al., 2024; published in PLOS ONE, 2025). The dataset is openly available on Mendeley Data (DOI: 10.17632/ymg9nsn6kn).</w:t>
      </w:r>
    </w:p>
    <w:p>
      <w:pPr>
        <w:spacing w:after="120" w:before="0"/>
        <w:jc w:val="both"/>
      </w:pPr>
      <w:r>
        <w:rPr>
          <w:color w:val="1A1A1A"/>
          <w:sz w:val="20"/>
          <w:szCs w:val="20"/>
        </w:rPr>
        <w:t xml:space="preserve">The questionnaire covers 11 sections with 174 variables, including sociodemographic characteristics (country, gender, age, field and level of study), ChatGPT usage behaviour (frequency of use, intensity, and purpose across 12 task types), capabilities and satisfaction perceptions, ethical concerns, study outcomes, skills development, and emotional responses. The variables planned for use in this project are: usage intensity (Q15, 1=Rarely to 5=Extensively), perceived grade improvement (Q27b), perceived critical thinking gain (Q29e), concern that AI hinders learning (Q22j), frequency of use per task type (Q18a–l), field and level of study (Q10, Q8), and emotions while using ChatGPT (Q32a–o).</w:t>
      </w:r>
    </w:p>
    <w:p>
      <w:pPr>
        <w:spacing w:after="120" w:before="0"/>
        <w:jc w:val="both"/>
      </w:pPr>
      <w:r>
        <w:rPr>
          <w:color w:val="1A1A1A"/>
          <w:sz w:val="20"/>
          <w:szCs w:val="20"/>
        </w:rPr>
        <w:t xml:space="preserve">Unlike the synthetic dataset used in an earlier version of this proposal, this dataset is drawn from a real, identified population with a peer-reviewed methodology. It is expected to reveal genuine relationships between usage intensity and perceived outcomes, enabling the paradox narrative to be supported by empirical rather than illustrative evidence. Of the 23,218 respondents, 16,010 (69.0%) report having used ChatGPT, and this sub-sample will be used for all usage-based analyses.</w:t>
      </w:r>
    </w:p>
    <w:p>
      <w:pPr>
        <w:spacing w:after="60" w:before="180"/>
      </w:pPr>
      <w:r>
        <w:rPr>
          <w:b/>
          <w:bCs/>
          <w:i/>
          <w:iCs/>
          <w:color w:val="444444"/>
          <w:sz w:val="20"/>
          <w:szCs w:val="20"/>
        </w:rPr>
        <w:t xml:space="preserve">Dataset 2 — Survey_AI  (n=91)</w:t>
      </w:r>
    </w:p>
    <w:p>
      <w:pPr>
        <w:spacing w:after="120" w:before="0"/>
        <w:jc w:val="both"/>
      </w:pPr>
      <w:r>
        <w:rPr>
          <w:color w:val="1A1A1A"/>
          <w:sz w:val="20"/>
          <w:szCs w:val="20"/>
        </w:rPr>
        <w:t xml:space="preserve">This dataset contains survey responses from 91 undergraduate students enrolled in years 2 and 3 of the Faculty of Cybernetics, Statistics and Economic Informatics. It captures attitudes and perceptions across 16 structured questions, including Likert-scale assessments of AI risks and opportunities, feelings toward AI (curiosity, fear, indifference, trust), perceived utility in education (mean score 7.44 out of 10), and self-assessed AI knowledge (mean score 5.91 out of 10). The sample is predominantly female (64.8%) and composed of students from three majors.</w:t>
      </w:r>
    </w:p>
    <w:p>
      <w:pPr>
        <w:spacing w:after="120" w:before="0"/>
        <w:jc w:val="both"/>
      </w:pPr>
      <w:r>
        <w:rPr>
          <w:color w:val="1A1A1A"/>
          <w:sz w:val="20"/>
          <w:szCs w:val="20"/>
        </w:rPr>
        <w:t xml:space="preserve">This dataset is drawn from a real, identified population. Its small size (n = 91) limits statistical generalizability, but it provides genuine qualitative depth: 68.1% of respondents report feeling curious about AI, while 13.2% report fear. This attitudinal information is essential for the perceptual layer of the dashboard and complements the larger-scale Dataset 1 with in-depth sentiment data.</w:t>
      </w:r>
    </w:p>
    <w:p>
      <w:pPr>
        <w:spacing w:after="60" w:before="180"/>
      </w:pPr>
      <w:r>
        <w:rPr>
          <w:b/>
          <w:bCs/>
          <w:i/>
          <w:iCs/>
          <w:color w:val="444444"/>
          <w:sz w:val="20"/>
          <w:szCs w:val="20"/>
        </w:rPr>
        <w:t xml:space="preserve">Dataset 3 — students_ai_usage  (n=100)</w:t>
      </w:r>
    </w:p>
    <w:p>
      <w:pPr>
        <w:spacing w:after="120" w:before="0"/>
        <w:jc w:val="both"/>
      </w:pPr>
      <w:r>
        <w:rPr>
          <w:color w:val="1A1A1A"/>
          <w:sz w:val="20"/>
          <w:szCs w:val="20"/>
        </w:rPr>
        <w:t xml:space="preserve">This dataset contains 100 student records with 9 variables, including education level (school vs. college), study hours per day, AI tool and purpose of use, daily screen time, and — critically — grades before and after adopting AI. For students who use AI (n = 40), the average grade delta is +9.82 points; for non-users, the delta is exactly 0.00. While the data is semi-synthetic (all non-users show zero change, which is unrealistic), the before/after structure enables a visually intuitive slope chart that communicates grade change directly and accessibly.</w:t>
      </w:r>
    </w:p>
    <w:p>
      <w:pPr>
        <w:spacing w:after="80" w:before="280"/>
      </w:pPr>
      <w:r>
        <w:rPr>
          <w:b/>
          <w:bCs/>
          <w:color w:val="1A1A1A"/>
          <w:sz w:val="22"/>
          <w:szCs w:val="22"/>
        </w:rPr>
        <w:t xml:space="preserve">2.2  Suitability and Complementarity</w:t>
      </w:r>
    </w:p>
    <w:p>
      <w:pPr>
        <w:spacing w:after="120" w:before="0"/>
        <w:jc w:val="both"/>
      </w:pPr>
      <w:r>
        <w:rPr>
          <w:color w:val="1A1A1A"/>
          <w:sz w:val="20"/>
          <w:szCs w:val="20"/>
        </w:rPr>
        <w:t xml:space="preserve">The three datasets are complementary in a deliberate way. Dataset 1 provides the large-sample quantitative backbone against which patterns of usage intensity and perceived outcomes can be explored — and, unlike the synthetic dataset it replaces, is expected to yield genuine correlational signals. Dataset 3 provides the causally-adjacent before/after framing that Dataset 1 lacks. Dataset 2 provides the attitudinal and perceptual dimension that neither Dataset 1 nor 3 contains with the same granularity. Together, they support the narrative arc described in Section 1.3.</w:t>
      </w:r>
    </w:p>
    <w:p>
      <w:pPr>
        <w:spacing w:after="80" w:before="280"/>
      </w:pPr>
      <w:r>
        <w:rPr>
          <w:b/>
          <w:bCs/>
          <w:color w:val="1A1A1A"/>
          <w:sz w:val="22"/>
          <w:szCs w:val="22"/>
        </w:rPr>
        <w:t xml:space="preserve">2.3  Availability, Preprocessing, and Known Limitations</w:t>
      </w:r>
    </w:p>
    <w:p>
      <w:pPr>
        <w:spacing w:after="120" w:before="0"/>
        <w:jc w:val="both"/>
      </w:pPr>
      <w:r>
        <w:rPr>
          <w:color w:val="1A1A1A"/>
          <w:sz w:val="20"/>
          <w:szCs w:val="20"/>
        </w:rPr>
        <w:t xml:space="preserve">Dataset 1 is available as an Excel file downloadable from Mendeley Data and will be loaded with pandas and openpyxl. The following preprocessing steps are anticipated:</w:t>
      </w:r>
    </w:p>
    <w:p>
      <w:pPr>
        <w:pStyle w:val="ListParagraph"/>
        <w:numPr>
          <w:ilvl w:val="0"/>
          <w:numId w:val="2"/>
        </w:numPr>
        <w:spacing w:after="40" w:before="40"/>
        <w:jc w:val="both"/>
      </w:pPr>
      <w:r>
        <w:rPr>
          <w:color w:val="1A1A1A"/>
          <w:sz w:val="20"/>
          <w:szCs w:val="20"/>
        </w:rPr>
        <w:t xml:space="preserve">Dataset 1: numeric codes for usage intensity (Q15), field of study (Q10), and level of study (Q8) will be mapped to human-readable string labels. The ChatGPT-user sub-sample will be filtered to Q13==1 for usage-based analyses. Likert-scale columns (Q18, Q22, Q24–Q29, Q32) will be used directly as numeric scales; group means will be computed by usage intensity level.</w:t>
      </w:r>
    </w:p>
    <w:p>
      <w:pPr>
        <w:pStyle w:val="ListParagraph"/>
        <w:numPr>
          <w:ilvl w:val="0"/>
          <w:numId w:val="2"/>
        </w:numPr>
        <w:spacing w:after="40" w:before="40"/>
        <w:jc w:val="both"/>
      </w:pPr>
      <w:r>
        <w:rPr>
          <w:color w:val="1A1A1A"/>
          <w:sz w:val="20"/>
          <w:szCs w:val="20"/>
        </w:rPr>
        <w:t xml:space="preserve">Dataset 2: Likert-scale numeric codes (1–5) must be mapped to interpretable labels. The Q5 feelings variable (1–4) maps to: 1 = Curiosity, 2 = Fear, 3 = Indifference, 4 = Trust. The Q12 gender variable uses 1 = Female, 2 = Male.</w:t>
      </w:r>
    </w:p>
    <w:p>
      <w:pPr>
        <w:pStyle w:val="ListParagraph"/>
        <w:numPr>
          <w:ilvl w:val="0"/>
          <w:numId w:val="2"/>
        </w:numPr>
        <w:spacing w:after="40" w:before="40"/>
        <w:jc w:val="both"/>
      </w:pPr>
      <w:r>
        <w:rPr>
          <w:color w:val="1A1A1A"/>
          <w:sz w:val="20"/>
          <w:szCs w:val="20"/>
        </w:rPr>
        <w:t xml:space="preserve">Dataset 3: the ai_tools_used and purpose_of_ai columns contain 60 missing values corresponding to the 60 non-AI-using students. These are structurally missing (not at random) and will be handled explicitly in the visualization by separating the two groups. A grade_delta variable will be derived as grades_after_ai − grades_before_ai.</w:t>
      </w:r>
    </w:p>
    <w:p>
      <w:pPr>
        <w:spacing w:after="40" w:before="40"/>
      </w:pPr>
    </w:p>
    <w:p>
      <w:pPr>
        <w:spacing w:after="120" w:before="0"/>
        <w:jc w:val="both"/>
      </w:pPr>
      <w:r>
        <w:rPr>
          <w:color w:val="1A1A1A"/>
          <w:sz w:val="20"/>
          <w:szCs w:val="20"/>
        </w:rPr>
        <w:t xml:space="preserve">The principal limitations are: (i) Dataset 1 is self-reported — perceived grade improvement and perceived critical thinking gain are perceptual proxies, not objective measures; (ii) Dataset 1 is cross-sectional and cannot establish causality; (iii) the datasets cannot be merged at the individual level and will be analysed separately, with aggregate-level comparisons only; (iv) Dataset 2 is limited to a specific disciplinary context and should not be generalized to other student populations; (v) Dataset 3's non-user delta of exactly 0.00 is a synthetic artifact that will be clearly annotated in the visualization.</w:t>
      </w:r>
    </w:p>
    <w:p>
      <w:pPr>
        <w:spacing w:after="120" w:before="400"/>
      </w:pPr>
      <w:r>
        <w:rPr>
          <w:b/>
          <w:bCs/>
          <w:color w:val="1A1A1A"/>
          <w:sz w:val="24"/>
          <w:szCs w:val="24"/>
        </w:rPr>
        <w:t xml:space="preserve">3. PROJECT DEFINITION</w:t>
      </w:r>
    </w:p>
    <w:p>
      <w:pPr>
        <w:spacing w:after="80" w:before="280"/>
      </w:pPr>
      <w:r>
        <w:rPr>
          <w:b/>
          <w:bCs/>
          <w:color w:val="1A1A1A"/>
          <w:sz w:val="22"/>
          <w:szCs w:val="22"/>
        </w:rPr>
        <w:t xml:space="preserve">3.1  Dashboard Structure and Potential Views</w:t>
      </w:r>
    </w:p>
    <w:p>
      <w:pPr>
        <w:spacing w:after="120" w:before="0"/>
        <w:jc w:val="both"/>
      </w:pPr>
      <w:r>
        <w:rPr>
          <w:color w:val="1A1A1A"/>
          <w:sz w:val="20"/>
          <w:szCs w:val="20"/>
        </w:rPr>
        <w:t xml:space="preserve">The dashboard is organized as a multi-tab interface with a persistent header displaying the project title and key context. Each tab answers one specific question and uses chart types matched to the structure of the data:</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760"/>
        <w:gridCol w:w="5160"/>
      </w:tblGrid>
      <w:tr>
        <w:tc>
          <w:tcPr>
            <w:tcW w:type="dxa" w:w="144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both"/>
            </w:pPr>
            <w:r>
              <w:rPr>
                <w:b/>
                <w:bCs/>
                <w:color w:val="FFFFFF"/>
                <w:sz w:val="18"/>
                <w:szCs w:val="18"/>
              </w:rPr>
              <w:t xml:space="preserve">Tab</w:t>
            </w:r>
          </w:p>
        </w:tc>
        <w:tc>
          <w:tcPr>
            <w:tcW w:type="dxa" w:w="27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both"/>
            </w:pPr>
            <w:r>
              <w:rPr>
                <w:b/>
                <w:bCs/>
                <w:color w:val="FFFFFF"/>
                <w:sz w:val="18"/>
                <w:szCs w:val="18"/>
              </w:rPr>
              <w:t xml:space="preserve">Central Question</w:t>
            </w:r>
          </w:p>
        </w:tc>
        <w:tc>
          <w:tcPr>
            <w:tcW w:type="dxa" w:w="51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both"/>
            </w:pPr>
            <w:r>
              <w:rPr>
                <w:b/>
                <w:bCs/>
                <w:color w:val="FFFFFF"/>
                <w:sz w:val="18"/>
                <w:szCs w:val="18"/>
              </w:rPr>
              <w:t xml:space="preserve">Primary Chart Types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1. Overview</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How widespread is ChatGPT adoption, and how intensively is it used?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Donut chart (adoption Yes/No); bar chart (usage intensity distribution); horizontal bar (adoption rate by field of study)</w:t>
            </w:r>
          </w:p>
        </w:tc>
      </w:tr>
      <w:tr>
        <w:tc>
          <w:tcPr>
            <w:tcW w:type="dxa" w:w="14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2. The Paradox</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Does heavier use widen the gap between perceived grade gains and critical thinking gains?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Dual line chart: perceived grade improvement vs. perceived critical thinking gain by usage intensity, with annotated gap values; multi-line gap chart by field of study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3. Dependency Lens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Which tasks characterise intensive users, and how do the three key metrics evolve?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Heatmap: task usage frequencies by intensity level; grouped bar: perceived grades / critical thinking / concern about hindering learning by intensity</w:t>
            </w:r>
          </w:p>
        </w:tc>
      </w:tr>
      <w:tr>
        <w:tc>
          <w:tcPr>
            <w:tcW w:type="dxa" w:w="14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4. Grade Delta</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Does AI adoption produce measurable grade improvements over time?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Slope chart: individual grades before → after AI adoption, grouped by purpose of use and education level; grouped bar: mean grade delta by purpose × level</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5. Perceptions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Are students aware of the trade-off?</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Radar chart: emotions while using ChatGPT (Dataset 1); horizontal bar: satisfaction and attitude scores; stacked bar: feelings by year of study (Survey_AI); bar: educational advantages and disadvantages Q8–Q11 (Survey_AI)</w:t>
            </w:r>
          </w:p>
        </w:tc>
      </w:tr>
    </w:tbl>
    <w:p>
      <w:pPr>
        <w:spacing w:after="80" w:before="40"/>
        <w:jc w:val="center"/>
      </w:pPr>
      <w:r>
        <w:rPr>
          <w:i/>
          <w:iCs/>
          <w:color w:val="888888"/>
          <w:sz w:val="17"/>
          <w:szCs w:val="17"/>
        </w:rPr>
        <w:t xml:space="preserve">Table 2. Dashboard tab structure, central question, and planned chart types.</w:t>
      </w:r>
    </w:p>
    <w:p>
      <w:pPr>
        <w:spacing w:after="120" w:before="0"/>
        <w:jc w:val="both"/>
      </w:pPr>
      <w:r>
        <w:rPr>
          <w:color w:val="1A1A1A"/>
          <w:sz w:val="20"/>
          <w:szCs w:val="20"/>
        </w:rPr>
        <w:t xml:space="preserve">The tabs are ordered to follow the narrative arc introduced in Section 1.3: the viewer is first shown the overall global picture, then introduced to the paradox, then invited to explore its drivers, then shown the longitudinal evidence, and finally presented with how students themselves perceive the situation.</w:t>
      </w:r>
    </w:p>
    <w:p>
      <w:pPr>
        <w:spacing w:after="80" w:before="280"/>
      </w:pPr>
      <w:r>
        <w:rPr>
          <w:b/>
          <w:bCs/>
          <w:color w:val="1A1A1A"/>
          <w:sz w:val="22"/>
          <w:szCs w:val="22"/>
        </w:rPr>
        <w:t xml:space="preserve">3.2  Data Requirements and Derived Variables</w:t>
      </w:r>
    </w:p>
    <w:p>
      <w:pPr>
        <w:spacing w:after="60" w:before="180"/>
      </w:pPr>
      <w:r>
        <w:rPr>
          <w:b/>
          <w:bCs/>
          <w:i/>
          <w:iCs/>
          <w:color w:val="444444"/>
          <w:sz w:val="20"/>
          <w:szCs w:val="20"/>
        </w:rPr>
        <w:t xml:space="preserve">From Dataset 1 (Aristovnik et al.)</w:t>
      </w:r>
    </w:p>
    <w:p>
      <w:pPr>
        <w:pStyle w:val="ListParagraph"/>
        <w:numPr>
          <w:ilvl w:val="0"/>
          <w:numId w:val="2"/>
        </w:numPr>
        <w:spacing w:after="40" w:before="40"/>
        <w:jc w:val="both"/>
      </w:pPr>
      <w:r>
        <w:rPr>
          <w:color w:val="1A1A1A"/>
          <w:sz w:val="20"/>
          <w:szCs w:val="20"/>
        </w:rPr>
        <w:t xml:space="preserve">Direct: Q13 (used ChatGPT), Q15 (usage intensity), Q8 (level of study), Q10 (field of study), Q18a–Q18l (task frequency), Q22j (AI hinders learning concern), Q24a–Q24g (satisfaction), Q25a–Q25d (attitude), Q27b (perceived grade improvement), Q29e (perceived critical thinking gain), Q32a–Q32o (emotions)</w:t>
      </w:r>
    </w:p>
    <w:p>
      <w:pPr>
        <w:pStyle w:val="ListParagraph"/>
        <w:numPr>
          <w:ilvl w:val="0"/>
          <w:numId w:val="2"/>
        </w:numPr>
        <w:spacing w:after="40" w:before="40"/>
        <w:jc w:val="both"/>
      </w:pPr>
      <w:r>
        <w:rPr>
          <w:color w:val="1A1A1A"/>
          <w:sz w:val="20"/>
          <w:szCs w:val="20"/>
        </w:rPr>
        <w:t xml:space="preserve">Derived: used_chatgpt (Q13 mapped to Yes/No labels); level_label (Q8 mapped to Bachelor/Master/PhD); field_label (Q10 mapped to four field names); use_label (Q15 mapped to Rarely/Occasionally/Moderately/Considerably/Extensively); paradox_gap = Q27b − Q29e (computed per usage intensity group for visualization)</w:t>
      </w:r>
    </w:p>
    <w:p>
      <w:pPr>
        <w:spacing w:after="60" w:before="180"/>
      </w:pPr>
      <w:r>
        <w:rPr>
          <w:b/>
          <w:bCs/>
          <w:i/>
          <w:iCs/>
          <w:color w:val="444444"/>
          <w:sz w:val="20"/>
          <w:szCs w:val="20"/>
        </w:rPr>
        <w:t xml:space="preserve">From Dataset 2 (Survey_AI)</w:t>
      </w:r>
    </w:p>
    <w:p>
      <w:pPr>
        <w:pStyle w:val="ListParagraph"/>
        <w:numPr>
          <w:ilvl w:val="0"/>
          <w:numId w:val="2"/>
        </w:numPr>
        <w:spacing w:after="40" w:before="40"/>
        <w:jc w:val="both"/>
      </w:pPr>
      <w:r>
        <w:rPr>
          <w:color w:val="1A1A1A"/>
          <w:sz w:val="20"/>
          <w:szCs w:val="20"/>
        </w:rPr>
        <w:t xml:space="preserve">Direct: Q5.Feelings (recoded to labels), Q7.Utility_grade, Q8–Q11 (education advantages/disadvantages), Q13.Year_of_study</w:t>
      </w:r>
    </w:p>
    <w:p>
      <w:pPr>
        <w:pStyle w:val="ListParagraph"/>
        <w:numPr>
          <w:ilvl w:val="0"/>
          <w:numId w:val="2"/>
        </w:numPr>
        <w:spacing w:after="40" w:before="40"/>
        <w:jc w:val="both"/>
      </w:pPr>
      <w:r>
        <w:rPr>
          <w:color w:val="1A1A1A"/>
          <w:sz w:val="20"/>
          <w:szCs w:val="20"/>
        </w:rPr>
        <w:t xml:space="preserve">Derived: feeling_label (mapping: 1=Curiosity, 2=Fear, 3=Indifference, 4=Trust)</w:t>
      </w:r>
    </w:p>
    <w:p>
      <w:pPr>
        <w:spacing w:after="60" w:before="180"/>
      </w:pPr>
      <w:r>
        <w:rPr>
          <w:b/>
          <w:bCs/>
          <w:i/>
          <w:iCs/>
          <w:color w:val="444444"/>
          <w:sz w:val="20"/>
          <w:szCs w:val="20"/>
        </w:rPr>
        <w:t xml:space="preserve">From Dataset 3 (students_ai_usage)</w:t>
      </w:r>
    </w:p>
    <w:p>
      <w:pPr>
        <w:pStyle w:val="ListParagraph"/>
        <w:numPr>
          <w:ilvl w:val="0"/>
          <w:numId w:val="2"/>
        </w:numPr>
        <w:spacing w:after="40" w:before="40"/>
        <w:jc w:val="both"/>
      </w:pPr>
      <w:r>
        <w:rPr>
          <w:color w:val="1A1A1A"/>
          <w:sz w:val="20"/>
          <w:szCs w:val="20"/>
        </w:rPr>
        <w:t xml:space="preserve">Direct: uses_ai, grades_before_ai, grades_after_ai, purpose_of_ai, education_level</w:t>
      </w:r>
    </w:p>
    <w:p>
      <w:pPr>
        <w:pStyle w:val="ListParagraph"/>
        <w:numPr>
          <w:ilvl w:val="0"/>
          <w:numId w:val="2"/>
        </w:numPr>
        <w:spacing w:after="40" w:before="40"/>
        <w:jc w:val="both"/>
      </w:pPr>
      <w:r>
        <w:rPr>
          <w:color w:val="1A1A1A"/>
          <w:sz w:val="20"/>
          <w:szCs w:val="20"/>
        </w:rPr>
        <w:t xml:space="preserve">Derived: grade_delta = grades_after_ai − grades_before_ai; delta_direction (Positive / Zero, used for slope chart colouring)</w:t>
      </w:r>
    </w:p>
    <w:p>
      <w:pPr>
        <w:spacing w:after="80" w:before="280"/>
      </w:pPr>
      <w:r>
        <w:rPr>
          <w:b/>
          <w:bCs/>
          <w:color w:val="1A1A1A"/>
          <w:sz w:val="22"/>
          <w:szCs w:val="22"/>
        </w:rPr>
        <w:t xml:space="preserve">3.3  Visual Encoding and Design Principles</w:t>
      </w:r>
    </w:p>
    <w:p>
      <w:pPr>
        <w:spacing w:after="120" w:before="0"/>
        <w:jc w:val="both"/>
      </w:pPr>
      <w:r>
        <w:rPr>
          <w:color w:val="1A1A1A"/>
          <w:sz w:val="20"/>
          <w:szCs w:val="20"/>
        </w:rPr>
        <w:t xml:space="preserve">The dashboard will follow a dark, minimalist, publication-quality aesthetic consistent with the analytical nature of the project. The key design choices are:</w:t>
      </w:r>
    </w:p>
    <w:p>
      <w:pPr>
        <w:pStyle w:val="ListParagraph"/>
        <w:numPr>
          <w:ilvl w:val="0"/>
          <w:numId w:val="2"/>
        </w:numPr>
        <w:spacing w:after="40" w:before="40"/>
        <w:jc w:val="both"/>
      </w:pPr>
      <w:r>
        <w:rPr>
          <w:color w:val="1A1A1A"/>
          <w:sz w:val="20"/>
          <w:szCs w:val="20"/>
        </w:rPr>
        <w:t xml:space="preserve">Colour encoding: a consistent palette applied across all tabs — teal for primary positive signals (perceived grade improvement, AI users); red for the critical thinking lag; amber for gap annotations and concern metrics; grey for non-users and neutral reference. Field of study will use a four-hue sub-palette to allow cross-field comparisons in Tab 2.</w:t>
      </w:r>
    </w:p>
    <w:p>
      <w:pPr>
        <w:pStyle w:val="ListParagraph"/>
        <w:numPr>
          <w:ilvl w:val="0"/>
          <w:numId w:val="2"/>
        </w:numPr>
        <w:spacing w:after="40" w:before="40"/>
        <w:jc w:val="both"/>
      </w:pPr>
      <w:r>
        <w:rPr>
          <w:color w:val="1A1A1A"/>
          <w:sz w:val="20"/>
          <w:szCs w:val="20"/>
        </w:rPr>
        <w:t xml:space="preserve">Typography and annotation: axis labels will be concise and self-explanatory. Each chart will carry an inline insight box summarising its key finding in plain language, allowing a viewer without data literacy to follow the narrative.</w:t>
      </w:r>
    </w:p>
    <w:p>
      <w:pPr>
        <w:pStyle w:val="ListParagraph"/>
        <w:numPr>
          <w:ilvl w:val="0"/>
          <w:numId w:val="2"/>
        </w:numPr>
        <w:spacing w:after="40" w:before="40"/>
        <w:jc w:val="both"/>
      </w:pPr>
      <w:r>
        <w:rPr>
          <w:color w:val="1A1A1A"/>
          <w:sz w:val="20"/>
          <w:szCs w:val="20"/>
        </w:rPr>
        <w:t xml:space="preserve">Narrative KPI cards: a four-card banner in the persistent header will display (a) global ChatGPT adoption rate, (b) the paradox gap at extensive vs. rare use, (c) average grade delta for AI adopters, and (d) perceived AI utility score. These numbers function as the thesis statement of the visualization before any chart is examined.</w:t>
      </w:r>
    </w:p>
    <w:p>
      <w:pPr>
        <w:pStyle w:val="ListParagraph"/>
        <w:numPr>
          <w:ilvl w:val="0"/>
          <w:numId w:val="2"/>
        </w:numPr>
        <w:spacing w:after="40" w:before="40"/>
        <w:jc w:val="both"/>
      </w:pPr>
      <w:r>
        <w:rPr>
          <w:color w:val="1A1A1A"/>
          <w:sz w:val="20"/>
          <w:szCs w:val="20"/>
        </w:rPr>
        <w:t xml:space="preserve">Progressive disclosure: Tab 1 is designed to be self-contained for a viewer who spends only 30 seconds. Each subsequent tab adds depth without requiring the previous ones to be fully understood.</w:t>
      </w:r>
    </w:p>
    <w:p>
      <w:pPr>
        <w:pStyle w:val="ListParagraph"/>
        <w:numPr>
          <w:ilvl w:val="0"/>
          <w:numId w:val="2"/>
        </w:numPr>
        <w:spacing w:after="40" w:before="40"/>
        <w:jc w:val="both"/>
      </w:pPr>
      <w:r>
        <w:rPr>
          <w:color w:val="1A1A1A"/>
          <w:sz w:val="20"/>
          <w:szCs w:val="20"/>
        </w:rPr>
        <w:t xml:space="preserve">Consistent axis scaling: Likert scales will be displayed 1–5 throughout all tabs to allow direct comparisons across charts.</w:t>
      </w:r>
    </w:p>
    <w:p>
      <w:pPr>
        <w:spacing w:after="120" w:before="400"/>
      </w:pPr>
      <w:r>
        <w:rPr>
          <w:b/>
          <w:bCs/>
          <w:color w:val="1A1A1A"/>
          <w:sz w:val="24"/>
          <w:szCs w:val="24"/>
        </w:rPr>
        <w:t xml:space="preserve">4. EXPECTED CHALLENGES</w:t>
      </w:r>
    </w:p>
    <w:p>
      <w:pPr>
        <w:spacing w:after="120" w:before="0"/>
        <w:jc w:val="both"/>
      </w:pPr>
      <w:r>
        <w:rPr>
          <w:color w:val="1A1A1A"/>
          <w:sz w:val="20"/>
          <w:szCs w:val="20"/>
        </w:rPr>
        <w:t xml:space="preserve">The following obstacles are anticipated, together with planned mitigation strategies: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both"/>
            </w:pPr>
            <w:r>
              <w:rPr>
                <w:b/>
                <w:bCs/>
                <w:color w:val="FFFFFF"/>
                <w:sz w:val="18"/>
                <w:szCs w:val="18"/>
              </w:rPr>
              <w:t xml:space="preserve">Challenge</w:t>
            </w:r>
          </w:p>
        </w:tc>
        <w:tc>
          <w:tcPr>
            <w:tcW w:type="dxa" w:w="59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both"/>
            </w:pPr>
            <w:r>
              <w:rPr>
                <w:b/>
                <w:bCs/>
                <w:color w:val="FFFFFF"/>
                <w:sz w:val="18"/>
                <w:szCs w:val="18"/>
              </w:rPr>
              <w:t xml:space="preserve">Planned Mitigation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Dataset 1 is self-reported — perceived outcomes are not objective measures of grade or understanding</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Frame all findings explicitly as perceptual evidence throughout the dashboard. Annotate charts with 'perceived' labels. Corroborate with Dataset 3's objective before/after delta where possible.</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Dataset 1 is cross-sectional — no causal inference is possible</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Use correlational language ('associated with', 'perceived') throughout. Reserve before/after framing exclusively for Dataset 3. Make the distinction explicit in the Tab 2 insight box.</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Dataset 3 shows Δ=0 for all non-users — a synthetic artifact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Acknowledge this explicitly in the slope chart annotation. Frame the comparison as illustrative rather than empirical evidence that non-users do not improve.</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Datasets cannot be merged at the individual level, limiting cross-dataset inference</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Design each tab to be dataset-specific and clearly labelled. Use aggregate-level statistics for any cross-dataset comparisons, with explicit source attribution.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Dataset 1 is large (n=23,218, 174 columns) — potential loading time</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both"/>
            </w:pPr>
            <w:r>
              <w:rPr>
                <w:b w:val="false"/>
                <w:bCs w:val="false"/>
                <w:color w:val="1A1A1A"/>
                <w:sz w:val="18"/>
                <w:szCs w:val="18"/>
              </w:rPr>
              <w:t xml:space="preserve">Load the full dataset once at module level; filter to the user sub-sample after all derived columns are created. All figures will be pre-computed at startup rather than on callback.</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Risk of visual overload across five tabs</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both"/>
            </w:pPr>
            <w:r>
              <w:rPr>
                <w:b w:val="false"/>
                <w:bCs w:val="false"/>
                <w:color w:val="1A1A1A"/>
                <w:sz w:val="18"/>
                <w:szCs w:val="18"/>
              </w:rPr>
              <w:t xml:space="preserve">Apply a strict one-question-per-tab principle. Use consistent layout templates across tabs so the viewer's attention goes to the data, not the interface.</w:t>
            </w:r>
          </w:p>
        </w:tc>
      </w:tr>
    </w:tbl>
    <w:p>
      <w:pPr>
        <w:spacing w:after="80" w:before="40"/>
        <w:jc w:val="center"/>
      </w:pPr>
      <w:r>
        <w:rPr>
          <w:i/>
          <w:iCs/>
          <w:color w:val="888888"/>
          <w:sz w:val="17"/>
          <w:szCs w:val="17"/>
        </w:rPr>
        <w:t xml:space="preserve">Table 3. Anticipated challenges and corresponding mitigation strategies.</w:t>
      </w:r>
    </w:p>
    <w:p>
      <w:pPr>
        <w:spacing w:after="120" w:before="400"/>
      </w:pPr>
      <w:r>
        <w:rPr>
          <w:b/>
          <w:bCs/>
          <w:color w:val="1A1A1A"/>
          <w:sz w:val="24"/>
          <w:szCs w:val="24"/>
        </w:rPr>
        <w:t xml:space="preserve">APPENDIX — PRELIMINARY DASHBOARD WIREFRAME</w:t>
      </w:r>
    </w:p>
    <w:p>
      <w:pPr>
        <w:spacing w:after="120" w:before="0"/>
        <w:jc w:val="both"/>
      </w:pPr>
      <w:r>
        <w:rPr>
          <w:color w:val="1A1A1A"/>
          <w:sz w:val="20"/>
          <w:szCs w:val="20"/>
        </w:rPr>
        <w:t xml:space="preserve">The following wireframe describes the intended structure and layout of the interactive dashboard at a conceptual level. It is not a final design but serves to confirm the feasibility of the layout within Plotly Dash and to anchor the narrative arc described above.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00"/>
              <w:bottom w:type="dxa" w:w="160"/>
              <w:right w:type="dxa" w:w="200"/>
            </w:tcMar>
          </w:tcPr>
          <w:p>
            <w:pPr>
              <w:spacing w:after="60" w:before="0"/>
              <w:jc w:val="center"/>
            </w:pPr>
            <w:r>
              <w:rPr>
                <w:rFonts w:ascii="Courier New" w:cs="Courier New" w:eastAsia="Courier New" w:hAnsi="Courier New"/>
                <w:b/>
                <w:bCs/>
                <w:color w:val="94A3B8"/>
                <w:sz w:val="17"/>
                <w:szCs w:val="17"/>
              </w:rPr>
              <w:t xml:space="preserve">DASHBOARD HEADER</w:t>
            </w:r>
          </w:p>
          <w:p>
            <w:pPr>
              <w:spacing w:after="60" w:before="0"/>
              <w:jc w:val="center"/>
            </w:pPr>
            <w:r>
              <w:rPr>
                <w:rFonts w:ascii="Courier New" w:cs="Courier New" w:eastAsia="Courier New" w:hAnsi="Courier New"/>
                <w:b/>
                <w:bCs/>
                <w:color w:val="F1F5F9"/>
                <w:sz w:val="19"/>
                <w:szCs w:val="19"/>
              </w:rPr>
              <w:t xml:space="preserve">"Does AI Boost Grades While Undermining Real Understanding?"</w:t>
            </w:r>
          </w:p>
          <w:p>
            <w:pPr>
              <w:spacing w:after="60" w:before="0"/>
              <w:jc w:val="center"/>
            </w:pPr>
            <w:r>
              <w:rPr>
                <w:rFonts w:ascii="Courier New" w:cs="Courier New" w:eastAsia="Courier New" w:hAnsi="Courier New"/>
                <w:b w:val="false"/>
                <w:bCs w:val="false"/>
                <w:color w:val="2DD4BF"/>
                <w:sz w:val="17"/>
                <w:szCs w:val="17"/>
              </w:rPr>
              <w:t xml:space="preserve">[ KPI: ChatGPT Adoption % ]  [ KPI: Paradox Gap ]  [ KPI: Grade Delta ]  [ KPI: Perceived Utility ]</w:t>
            </w:r>
          </w:p>
          <w:p>
            <w:pPr>
              <w:spacing w:after="60" w:before="0"/>
              <w:jc w:val="center"/>
            </w:pPr>
            <w:r>
              <w:rPr>
                <w:rFonts w:ascii="Courier New" w:cs="Courier New" w:eastAsia="Courier New" w:hAnsi="Courier New"/>
                <w:b w:val="false"/>
                <w:bCs w:val="false"/>
                <w:color w:val="94A3B8"/>
                <w:sz w:val="17"/>
                <w:szCs w:val="17"/>
              </w:rPr>
              <w:t xml:space="preserve">[ 1·Overview ]  [ 2·The Paradox ]  [ 3·Dependency Lens ]  [ 4·Grade Delta ]  [ 5·Perceptions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32338" w:val="clear"/>
            <w:tcMar>
              <w:top w:type="dxa" w:w="100"/>
              <w:left w:type="dxa" w:w="200"/>
              <w:bottom w:type="dxa" w:w="100"/>
              <w:right w:type="dxa" w:w="200"/>
            </w:tcMar>
          </w:tcPr>
          <w:p>
            <w:pPr>
              <w:spacing w:after="40" w:before="0"/>
              <w:jc w:val="center"/>
            </w:pPr>
            <w:r>
              <w:rPr>
                <w:rFonts w:ascii="Courier New" w:cs="Courier New" w:eastAsia="Courier New" w:hAnsi="Courier New"/>
                <w:b/>
                <w:bCs/>
                <w:color w:val="2DD4BF"/>
                <w:sz w:val="18"/>
                <w:szCs w:val="18"/>
              </w:rPr>
              <w:t xml:space="preserve">TAB 1 — OVERVIEW</w:t>
            </w:r>
          </w:p>
          <w:p>
            <w:pPr>
              <w:spacing w:after="40" w:before="0"/>
              <w:jc w:val="center"/>
            </w:pPr>
            <w:r>
              <w:rPr>
                <w:rFonts w:ascii="Courier New" w:cs="Courier New" w:eastAsia="Courier New" w:hAnsi="Courier New"/>
                <w:b w:val="false"/>
                <w:bCs w:val="false"/>
                <w:color w:val="94A3B8"/>
                <w:sz w:val="17"/>
                <w:szCs w:val="17"/>
              </w:rPr>
              <w:t xml:space="preserve">[ Donut: ChatGPT Adoption (n=23,218) ]   [ Bar: Usage Intensity Distribution ]   [ Horiz. Bar: Adoption by Field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32338" w:val="clear"/>
            <w:tcMar>
              <w:top w:type="dxa" w:w="100"/>
              <w:left w:type="dxa" w:w="200"/>
              <w:bottom w:type="dxa" w:w="100"/>
              <w:right w:type="dxa" w:w="200"/>
            </w:tcMar>
          </w:tcPr>
          <w:p>
            <w:pPr>
              <w:spacing w:after="40" w:before="0"/>
              <w:jc w:val="center"/>
            </w:pPr>
            <w:r>
              <w:rPr>
                <w:rFonts w:ascii="Courier New" w:cs="Courier New" w:eastAsia="Courier New" w:hAnsi="Courier New"/>
                <w:b/>
                <w:bCs/>
                <w:color w:val="2DD4BF"/>
                <w:sz w:val="18"/>
                <w:szCs w:val="18"/>
              </w:rPr>
              <w:t xml:space="preserve">TAB 2 — THE PARADOX</w:t>
            </w:r>
          </w:p>
          <w:p>
            <w:pPr>
              <w:spacing w:after="40" w:before="0"/>
              <w:jc w:val="center"/>
            </w:pPr>
            <w:r>
              <w:rPr>
                <w:rFonts w:ascii="Courier New" w:cs="Courier New" w:eastAsia="Courier New" w:hAnsi="Courier New"/>
                <w:b w:val="false"/>
                <w:bCs w:val="false"/>
                <w:color w:val="94A3B8"/>
                <w:sz w:val="17"/>
                <w:szCs w:val="17"/>
              </w:rPr>
              <w:t xml:space="preserve">[ Dual Line: Perceived Grades vs. Critical Thinking by Usage Intensity — annotated gap ]</w:t>
            </w:r>
          </w:p>
          <w:p>
            <w:pPr>
              <w:spacing w:after="40" w:before="0"/>
              <w:jc w:val="center"/>
            </w:pPr>
            <w:r>
              <w:rPr>
                <w:rFonts w:ascii="Courier New" w:cs="Courier New" w:eastAsia="Courier New" w:hAnsi="Courier New"/>
                <w:b w:val="false"/>
                <w:bCs w:val="false"/>
                <w:color w:val="94A3B8"/>
                <w:sz w:val="17"/>
                <w:szCs w:val="17"/>
              </w:rPr>
              <w:t xml:space="preserve">[ Multi-line: Gap (Q27b−Q29e) by Field of Study × Intensity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32338" w:val="clear"/>
            <w:tcMar>
              <w:top w:type="dxa" w:w="100"/>
              <w:left w:type="dxa" w:w="200"/>
              <w:bottom w:type="dxa" w:w="100"/>
              <w:right w:type="dxa" w:w="200"/>
            </w:tcMar>
          </w:tcPr>
          <w:p>
            <w:pPr>
              <w:spacing w:after="40" w:before="0"/>
              <w:jc w:val="center"/>
            </w:pPr>
            <w:r>
              <w:rPr>
                <w:rFonts w:ascii="Courier New" w:cs="Courier New" w:eastAsia="Courier New" w:hAnsi="Courier New"/>
                <w:b/>
                <w:bCs/>
                <w:color w:val="2DD4BF"/>
                <w:sz w:val="18"/>
                <w:szCs w:val="18"/>
              </w:rPr>
              <w:t xml:space="preserve">TAB 3 — DEPENDENCY LENS</w:t>
            </w:r>
          </w:p>
          <w:p>
            <w:pPr>
              <w:spacing w:after="40" w:before="0"/>
              <w:jc w:val="center"/>
            </w:pPr>
            <w:r>
              <w:rPr>
                <w:rFonts w:ascii="Courier New" w:cs="Courier New" w:eastAsia="Courier New" w:hAnsi="Courier New"/>
                <w:b w:val="false"/>
                <w:bCs w:val="false"/>
                <w:color w:val="94A3B8"/>
                <w:sz w:val="17"/>
                <w:szCs w:val="17"/>
              </w:rPr>
              <w:t xml:space="preserve">[ Heatmap: 12 Task Frequencies (Q18a–l) × Intensity (Q15) ]</w:t>
            </w:r>
          </w:p>
          <w:p>
            <w:pPr>
              <w:spacing w:after="40" w:before="0"/>
              <w:jc w:val="center"/>
            </w:pPr>
            <w:r>
              <w:rPr>
                <w:rFonts w:ascii="Courier New" w:cs="Courier New" w:eastAsia="Courier New" w:hAnsi="Courier New"/>
                <w:b w:val="false"/>
                <w:bCs w:val="false"/>
                <w:color w:val="94A3B8"/>
                <w:sz w:val="17"/>
                <w:szCs w:val="17"/>
              </w:rPr>
              <w:t xml:space="preserve">[ Grouped Bar: Perceived Grades / Critical Thinking / Concern by Intensity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32338" w:val="clear"/>
            <w:tcMar>
              <w:top w:type="dxa" w:w="100"/>
              <w:left w:type="dxa" w:w="200"/>
              <w:bottom w:type="dxa" w:w="100"/>
              <w:right w:type="dxa" w:w="200"/>
            </w:tcMar>
          </w:tcPr>
          <w:p>
            <w:pPr>
              <w:spacing w:after="40" w:before="0"/>
              <w:jc w:val="center"/>
            </w:pPr>
            <w:r>
              <w:rPr>
                <w:rFonts w:ascii="Courier New" w:cs="Courier New" w:eastAsia="Courier New" w:hAnsi="Courier New"/>
                <w:b/>
                <w:bCs/>
                <w:color w:val="2DD4BF"/>
                <w:sz w:val="18"/>
                <w:szCs w:val="18"/>
              </w:rPr>
              <w:t xml:space="preserve">TAB 4 — GRADE DELTA</w:t>
            </w:r>
          </w:p>
          <w:p>
            <w:pPr>
              <w:spacing w:after="40" w:before="0"/>
              <w:jc w:val="center"/>
            </w:pPr>
            <w:r>
              <w:rPr>
                <w:rFonts w:ascii="Courier New" w:cs="Courier New" w:eastAsia="Courier New" w:hAnsi="Courier New"/>
                <w:b w:val="false"/>
                <w:bCs w:val="false"/>
                <w:color w:val="94A3B8"/>
                <w:sz w:val="17"/>
                <w:szCs w:val="17"/>
              </w:rPr>
              <w:t xml:space="preserve">[ Slope Chart: Grades Before → After AI adoption, coloured by Purpose (Dataset 3) ]</w:t>
            </w:r>
          </w:p>
          <w:p>
            <w:pPr>
              <w:spacing w:after="40" w:before="0"/>
              <w:jc w:val="center"/>
            </w:pPr>
            <w:r>
              <w:rPr>
                <w:rFonts w:ascii="Courier New" w:cs="Courier New" w:eastAsia="Courier New" w:hAnsi="Courier New"/>
                <w:b w:val="false"/>
                <w:bCs w:val="false"/>
                <w:color w:val="94A3B8"/>
                <w:sz w:val="17"/>
                <w:szCs w:val="17"/>
              </w:rPr>
              <w:t xml:space="preserve">[ Grouped Bar: Mean Grade Delta by Purpose × Education Level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32338" w:val="clear"/>
            <w:tcMar>
              <w:top w:type="dxa" w:w="100"/>
              <w:left w:type="dxa" w:w="200"/>
              <w:bottom w:type="dxa" w:w="100"/>
              <w:right w:type="dxa" w:w="200"/>
            </w:tcMar>
          </w:tcPr>
          <w:p>
            <w:pPr>
              <w:spacing w:after="40" w:before="0"/>
              <w:jc w:val="center"/>
            </w:pPr>
            <w:r>
              <w:rPr>
                <w:rFonts w:ascii="Courier New" w:cs="Courier New" w:eastAsia="Courier New" w:hAnsi="Courier New"/>
                <w:b/>
                <w:bCs/>
                <w:color w:val="2DD4BF"/>
                <w:sz w:val="18"/>
                <w:szCs w:val="18"/>
              </w:rPr>
              <w:t xml:space="preserve">TAB 5 — PERCEPTIONS</w:t>
            </w:r>
          </w:p>
          <w:p>
            <w:pPr>
              <w:spacing w:after="40" w:before="0"/>
              <w:jc w:val="center"/>
            </w:pPr>
            <w:r>
              <w:rPr>
                <w:rFonts w:ascii="Courier New" w:cs="Courier New" w:eastAsia="Courier New" w:hAnsi="Courier New"/>
                <w:b w:val="false"/>
                <w:bCs w:val="false"/>
                <w:color w:val="94A3B8"/>
                <w:sz w:val="17"/>
                <w:szCs w:val="17"/>
              </w:rPr>
              <w:t xml:space="preserve">[ Radar: 15 Emotions while using ChatGPT (Dataset 1) ]   [ Horiz. Bar: Satisfaction Q24–Q25 ]</w:t>
            </w:r>
          </w:p>
          <w:p>
            <w:pPr>
              <w:spacing w:after="40" w:before="0"/>
              <w:jc w:val="center"/>
            </w:pPr>
            <w:r>
              <w:rPr>
                <w:rFonts w:ascii="Courier New" w:cs="Courier New" w:eastAsia="Courier New" w:hAnsi="Courier New"/>
                <w:b w:val="false"/>
                <w:bCs w:val="false"/>
                <w:color w:val="94A3B8"/>
                <w:sz w:val="17"/>
                <w:szCs w:val="17"/>
              </w:rPr>
              <w:t xml:space="preserve">[ Stacked Bar: Feelings by Year of Study (Survey_AI) ]   [ Bar: Edu Advantages Q8–Q11 (Survey_AI) ]</w:t>
            </w:r>
          </w:p>
        </w:tc>
      </w:tr>
    </w:tbl>
    <w:p>
      <w:pPr>
        <w:spacing w:after="0" w:before="80"/>
      </w:pPr>
    </w:p>
    <w:p>
      <w:pPr>
        <w:spacing w:after="80" w:before="40"/>
        <w:jc w:val="center"/>
      </w:pPr>
      <w:r>
        <w:rPr>
          <w:i/>
          <w:iCs/>
          <w:color w:val="888888"/>
          <w:sz w:val="17"/>
          <w:szCs w:val="17"/>
        </w:rPr>
        <w:t xml:space="preserve">Figure 1. Preliminary wireframe of the interactive dashboard.</w:t>
      </w:r>
    </w:p>
    <w:p>
      <w:pPr>
        <w:spacing w:after="0" w:before="120"/>
      </w:pPr>
    </w:p>
    <w:p>
      <w:pPr>
        <w:spacing w:after="0" w:before="80"/>
        <w:jc w:val="center"/>
      </w:pPr>
      <w:r>
        <w:rPr>
          <w:i/>
          <w:iCs/>
          <w:color w:val="888888"/>
          <w:sz w:val="19"/>
          <w:szCs w:val="19"/>
        </w:rPr>
        <w:t xml:space="preserve">— End of Proposal —</w:t>
      </w:r>
    </w:p>
    <w:sectPr>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Bianchi &amp; Faour  ·  Data Visualization Proposal 2025–2026  ·  p.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2026-04-12T12:48:38.912Z</dcterms:created>
  <dcterms:modified xsi:type="dcterms:W3CDTF">2026-04-12T12:48:38.914Z</dcterms:modified>
</cp:coreProperties>
</file>

<file path=docProps/custom.xml><?xml version="1.0" encoding="utf-8"?>
<Properties xmlns="http://schemas.openxmlformats.org/officeDocument/2006/custom-properties" xmlns:vt="http://schemas.openxmlformats.org/officeDocument/2006/docPropsVTypes"/>
</file>