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基于风场感知与智能路径规划的无人机导航系统</w:t>
      </w:r>
    </w:p>
    <w:p/>
    <w:p/>
    <w:p>
      <w:r>
        <w:rPr>
          <w:rFonts w:ascii="黑体" w:hAnsi="黑体" w:eastAsia="黑体"/>
          <w:b/>
          <w:sz w:val="24"/>
        </w:rPr>
        <w:t>【摘要】</w:t>
      </w:r>
    </w:p>
    <w:p/>
    <w:p>
      <w:pPr>
        <w:spacing w:line="240" w:lineRule="auto"/>
        <w:ind w:firstLine="480"/>
      </w:pPr>
      <w:r>
        <w:rPr>
          <w:rFonts w:ascii="宋体" w:hAnsi="宋体" w:eastAsia="宋体"/>
          <w:b w:val="0"/>
          <w:sz w:val="24"/>
        </w:rPr>
        <w:t>传统无人机路径规划多基于静态环境假设，以最短几何距离为单一优化目标，忽略了低空动态风场这一核心扰动因素，导致几何最短路径在实际环境中远非最优路径。本文提出了一套完整的“物理感知—认知推理—规划决策”三层自主导航系统。在物理感知层，利用数字高程模型对粗尺度气象风场进行地形修正，生成局地三维风场基线；在认知推理层，引入XGBoost残差学习模型在线修正物理基线误差，并通过三维信念地图以贝叶斯滤波实现“边飞边认知”的不确定性管理；在规划决策层，将“路径完成进度”作为状态变量引入模型预测控制框架，结合能量走廊与巡航高度带协同，对整条剩余航线进行全局联合优化。实验结果表明：风速预测RMSE从0.588 m/s降至0.180 m/s，降低69.4%；垂直风预测MAE从0.234 m/s降至0.065 m/s，降低72.3%；在二十个真实地形—历史风场场景的闭环评测中，系统相对名义直线均节能耗4.0%，其中CORE四典型场景达10.1%。系统单次全路径规划时间控制在500毫秒以内，可部署于机载嵌入式平台，为无人机在复杂动态风场中的自主导航提供了有效的技术方案。</w:t>
      </w:r>
    </w:p>
    <w:p/>
    <w:p>
      <w:pPr>
        <w:spacing w:line="240" w:lineRule="auto"/>
        <w:ind w:firstLine="480"/>
      </w:pPr>
      <w:r>
        <w:rPr>
          <w:rFonts w:ascii="宋体" w:hAnsi="宋体" w:eastAsia="宋体"/>
          <w:b w:val="0"/>
          <w:sz w:val="24"/>
        </w:rPr>
        <w:t>**【关键词】** 无人机导航，风场感知，残差学习，信念地图，模型预测控制，路径规划</w:t>
      </w:r>
    </w:p>
    <w:p/>
    <w:p>
      <w:pPr>
        <w:spacing w:line="240" w:lineRule="auto"/>
        <w:ind w:firstLine="480"/>
      </w:pPr>
      <w:r>
        <w:rPr>
          <w:rFonts w:ascii="宋体" w:hAnsi="宋体" w:eastAsia="宋体"/>
          <w:b w:val="0"/>
          <w:sz w:val="24"/>
        </w:rPr>
        <w:t>**【Abstract】** Traditional UAV path planning is mostly based on static environment assumptions, taking the shortest geometric distance as the sole optimization objective, while ignoring the low-altitude dynamic wind field as a core disturbance factor, resulting in the geometric shortest path being far from optimal in actual environments. This paper proposes a complete three-layer autonomous navigation system of "physical perception—cognitive reasoning—planning decision." Experimental results show that wind speed prediction RMSE decreased from 0.588 m/s to 0.180 m/s (69.4% reduction); vertical wind MAE decreased from 0.234 m/s to 0.065 m/s (72.3% reduction); across twenty real terrain-historical wind field scenarios, the system achieved an average energy saving of 4.0% relative to the nominal straight-line baseline, with CORE typical scenarios reaching 10.1%. Single full-path planning time is within 500 ms.</w:t>
      </w:r>
    </w:p>
    <w:p/>
    <w:p>
      <w:pPr>
        <w:spacing w:line="240" w:lineRule="auto"/>
        <w:ind w:firstLine="480"/>
      </w:pPr>
      <w:r>
        <w:rPr>
          <w:rFonts w:ascii="宋体" w:hAnsi="宋体" w:eastAsia="宋体"/>
          <w:b w:val="0"/>
          <w:sz w:val="24"/>
        </w:rPr>
        <w:t>**【Key words】** UAV navigation, wind field perception, residual learning, belief map, model predictive control, path planning</w:t>
      </w:r>
    </w:p>
    <w:p/>
    <w:p>
      <w:r>
        <w:rPr>
          <w:rFonts w:ascii="黑体" w:hAnsi="黑体" w:eastAsia="黑体"/>
          <w:b/>
          <w:sz w:val="24"/>
        </w:rPr>
        <w:t>一、国内外发展现状（项目相关技术）</w:t>
      </w:r>
    </w:p>
    <w:p/>
    <w:p>
      <w:pPr>
        <w:spacing w:line="240" w:lineRule="auto"/>
        <w:ind w:firstLine="480"/>
      </w:pPr>
      <w:r>
        <w:rPr>
          <w:rFonts w:ascii="宋体" w:hAnsi="宋体" w:eastAsia="宋体"/>
          <w:b w:val="0"/>
          <w:sz w:val="24"/>
        </w:rPr>
        <w:t>低空风场感知与无人机路径规划是自主导航领域的核心研究问题。随着低空经济上升为国家战略，海量无人机即将进入低空空域，对复杂风场条件下的自主决策能力提出了迫切需求。当前，国内外在风场获取方法和路径优化策略两个维度上均取得了显著进展，但在方法论层面仍存在明显的局限性。</w:t>
      </w:r>
    </w:p>
    <w:p/>
    <w:p>
      <w:pPr>
        <w:spacing w:line="240" w:lineRule="auto"/>
        <w:ind w:firstLine="480"/>
      </w:pPr>
      <w:r>
        <w:rPr>
          <w:rFonts w:ascii="宋体" w:hAnsi="宋体" w:eastAsia="宋体"/>
          <w:b w:val="0"/>
          <w:sz w:val="24"/>
        </w:rPr>
        <w:t>### 1.1 国内现状分析</w:t>
      </w:r>
    </w:p>
    <w:p/>
    <w:p>
      <w:pPr>
        <w:spacing w:line="240" w:lineRule="auto"/>
        <w:ind w:firstLine="480"/>
      </w:pPr>
      <w:r>
        <w:rPr>
          <w:rFonts w:ascii="宋体" w:hAnsi="宋体" w:eastAsia="宋体"/>
          <w:b w:val="0"/>
          <w:sz w:val="24"/>
        </w:rPr>
        <w:t>国内在无人机风场感知与路径规划领域的研究起步较晚但发展迅速。在风场获取方面，部分高校和科研院所尝试将中尺度天气预报模式（WRF）降尺度应用于低空风场估计。在路径规划方面，国内学者在改进A*算法、RRT算法和蚁群算法等方面积累了大量成果，近年来也有研究开始关注能耗约束下的航迹优化问题。然而，多数研究仍将环境视为静态或准静态，风场信息多作为离线预计算输入，缺乏在线感知与动态更新的完整框架。未来十年，国内无人机导航技术有望从“程序化飞行”向“认知型自主飞行”加速演进。</w:t>
      </w:r>
    </w:p>
    <w:p/>
    <w:p>
      <w:pPr>
        <w:spacing w:line="240" w:lineRule="auto"/>
        <w:ind w:firstLine="480"/>
      </w:pPr>
      <w:r>
        <w:rPr>
          <w:rFonts w:ascii="宋体" w:hAnsi="宋体" w:eastAsia="宋体"/>
          <w:b w:val="0"/>
          <w:sz w:val="24"/>
        </w:rPr>
        <w:t>### 1.2 国外现状分析</w:t>
      </w:r>
    </w:p>
    <w:p/>
    <w:p>
      <w:pPr>
        <w:spacing w:line="240" w:lineRule="auto"/>
        <w:ind w:firstLine="480"/>
      </w:pPr>
      <w:r>
        <w:rPr>
          <w:rFonts w:ascii="宋体" w:hAnsi="宋体" w:eastAsia="宋体"/>
          <w:b w:val="0"/>
          <w:sz w:val="24"/>
        </w:rPr>
        <w:t>国外在无人机风场感知与路径规划领域的研究积累较为深厚。苏黎世联邦理工学院（ETH Zurich）的Wind Field Optimization框架利用WRF模式预先生成风场分布图，再通过搜索算法规划能耗最优路径。在路径优化策略层面，模型预测控制（MPC）已成为无人机动态环境导航的主流框架，但传统MPC的固定时域特性导致其本质上仍属“短视”决策。将信念地图扩展至三维动态矢量风场的表征并直接驱动机器人运动规划，在国外公开文献中仍属空白。</w:t>
      </w:r>
    </w:p>
    <w:p/>
    <w:p>
      <w:r>
        <w:rPr>
          <w:rFonts w:ascii="黑体" w:hAnsi="黑体" w:eastAsia="黑体"/>
          <w:b/>
          <w:sz w:val="24"/>
        </w:rPr>
        <w:t>二、研究目标</w:t>
      </w:r>
    </w:p>
    <w:p/>
    <w:p>
      <w:pPr>
        <w:spacing w:line="240" w:lineRule="auto"/>
        <w:ind w:firstLine="480"/>
      </w:pPr>
      <w:r>
        <w:rPr>
          <w:rFonts w:ascii="宋体" w:hAnsi="宋体" w:eastAsia="宋体"/>
          <w:b w:val="0"/>
          <w:sz w:val="24"/>
        </w:rPr>
        <w:t>本研究旨在解决传统无人机路径规划中环境感知与决策优化相互割裂的核心问题，具体目标包括：建立兼顾物理可解释性与预测精度的低空风场在线感知方法；构建以概率框架表征风场不确定性的信念地图机制；提出以全局最优为目标的路径规划算法；形成完整的“物理感知—认知推理—规划决策”三层自主导航系统原型，并在二十个真实地形—历史风场场景中验证跨场景泛化能力与工程可行性。</w:t>
      </w:r>
    </w:p>
    <w:p/>
    <w:p>
      <w:r>
        <w:rPr>
          <w:rFonts w:ascii="黑体" w:hAnsi="黑体" w:eastAsia="黑体"/>
          <w:b/>
          <w:sz w:val="24"/>
        </w:rPr>
        <w:t>三、创新性</w:t>
      </w:r>
    </w:p>
    <w:p/>
    <w:p>
      <w:pPr>
        <w:spacing w:line="240" w:lineRule="auto"/>
        <w:ind w:firstLine="480"/>
      </w:pPr>
      <w:r>
        <w:rPr>
          <w:rFonts w:ascii="宋体" w:hAnsi="宋体" w:eastAsia="宋体"/>
          <w:b w:val="0"/>
          <w:sz w:val="24"/>
        </w:rPr>
        <w:t>本作品的创新性主要体现在以下四个方面。</w:t>
      </w:r>
    </w:p>
    <w:p/>
    <w:p>
      <w:pPr>
        <w:spacing w:line="240" w:lineRule="auto"/>
        <w:ind w:firstLine="480"/>
      </w:pPr>
      <w:r>
        <w:rPr>
          <w:rFonts w:ascii="宋体" w:hAnsi="宋体" w:eastAsia="宋体"/>
          <w:b w:val="0"/>
          <w:sz w:val="24"/>
        </w:rPr>
        <w:t>第一，提出了物理风场下推与残差学习融合的混合风场感知架构。实验数据表明，风速预测RMSE从0.588 m/s降至0.180 m/s，降低69.4%；垂直风预测MAE从0.234 m/s降至0.065 m/s，降低72.3%。</w:t>
      </w:r>
    </w:p>
    <w:p/>
    <w:p>
      <w:pPr>
        <w:spacing w:line="240" w:lineRule="auto"/>
        <w:ind w:firstLine="480"/>
      </w:pPr>
      <w:r>
        <w:rPr>
          <w:rFonts w:ascii="宋体" w:hAnsi="宋体" w:eastAsia="宋体"/>
          <w:b w:val="0"/>
          <w:sz w:val="24"/>
        </w:rPr>
        <w:t>第二，提出了信念地图驱动的在线不确定性量化与管理机制。规划器将不确定性信息直接纳入安全惩罚项，实现了“趋利”与“避害”的统一。</w:t>
      </w:r>
    </w:p>
    <w:p/>
    <w:p>
      <w:pPr>
        <w:spacing w:line="240" w:lineRule="auto"/>
        <w:ind w:firstLine="480"/>
      </w:pPr>
      <w:r>
        <w:rPr>
          <w:rFonts w:ascii="宋体" w:hAnsi="宋体" w:eastAsia="宋体"/>
          <w:b w:val="0"/>
          <w:sz w:val="24"/>
        </w:rPr>
        <w:t>第三，提出了进度感知的全路线联合优化规划算法。二十个真实场景闭环评测显示，系统相对名义直线均节能耗4.0%（CORE达10.1%），并在无收益场景保持接近零而不出现大额负收益。</w:t>
      </w:r>
    </w:p>
    <w:p/>
    <w:p>
      <w:pPr>
        <w:spacing w:line="240" w:lineRule="auto"/>
        <w:ind w:firstLine="480"/>
      </w:pPr>
      <w:r>
        <w:rPr>
          <w:rFonts w:ascii="宋体" w:hAnsi="宋体" w:eastAsia="宋体"/>
          <w:b w:val="0"/>
          <w:sz w:val="24"/>
        </w:rPr>
        <w:t>第四，构建了完整的“物理感知—认知推理—规划决策”三层自主导航体系，各模块可独立验证、协同工作，核心算法具有良好的可迁移性。</w:t>
      </w:r>
    </w:p>
    <w:p/>
    <w:p>
      <w:r>
        <w:rPr>
          <w:rFonts w:ascii="黑体" w:hAnsi="黑体" w:eastAsia="黑体"/>
          <w:b/>
          <w:sz w:val="24"/>
        </w:rPr>
        <w:t>四、主要研究内容及实现思路</w:t>
      </w:r>
    </w:p>
    <w:p/>
    <w:p>
      <w:pPr>
        <w:spacing w:line="240" w:lineRule="auto"/>
        <w:ind w:firstLine="480"/>
      </w:pPr>
      <w:r>
        <w:rPr>
          <w:rFonts w:ascii="宋体" w:hAnsi="宋体" w:eastAsia="宋体"/>
          <w:b w:val="0"/>
          <w:sz w:val="24"/>
        </w:rPr>
        <w:t>本研究的总体框架分为三个层次：物理感知层、认知推理层和规划决策层，遵循“物理先验引导—数据实时修正—不确定性量化—全局策略优化”的四阶递进技术路线。</w:t>
      </w:r>
    </w:p>
    <w:p/>
    <w:p>
      <w:pPr>
        <w:spacing w:line="240" w:lineRule="auto"/>
        <w:ind w:firstLine="480"/>
      </w:pPr>
      <w:r>
        <w:rPr>
          <w:rFonts w:ascii="宋体" w:hAnsi="宋体" w:eastAsia="宋体"/>
          <w:b w:val="0"/>
          <w:sz w:val="24"/>
        </w:rPr>
        <w:t>物理感知层的核心研究内容是风场下推建模。**福建丘陵场景**的风场降尺度效果对比如图2所示。认知推理层中，残差学习模型输入特征重要性排名如图3所示，纯物理模型与物理+ML残差修正的性能对比如图4所示。**福建丘陵场景**的信念预测与实际观测校准关系如图5所示。规划决策层中，**福建丘陵场景**的信念引导路径规划四维决策视图如图6所示。</w:t>
      </w:r>
    </w:p>
    <w:p/>
    <w:p>
      <w:pPr>
        <w:spacing w:line="240" w:lineRule="auto"/>
        <w:ind w:firstLine="480"/>
      </w:pPr>
      <w:r>
        <w:rPr>
          <w:rFonts w:ascii="宋体" w:hAnsi="宋体" w:eastAsia="宋体"/>
          <w:b w:val="0"/>
          <w:sz w:val="24"/>
        </w:rPr>
        <w:t>在实现路径上，本研究采用“合成数据训练—真实场景评测—系统集成验证”的递进策略。风场模型性能指标如表1所示，路径规划算法性能指标如表2所示。</w:t>
      </w:r>
    </w:p>
    <w:p/>
    <w:p>
      <w:pPr>
        <w:spacing w:line="240" w:lineRule="auto"/>
        <w:ind w:firstLine="480"/>
      </w:pPr>
      <w:r>
        <w:rPr>
          <w:rFonts w:ascii="宋体" w:hAnsi="宋体" w:eastAsia="宋体"/>
          <w:b w:val="0"/>
          <w:sz w:val="24"/>
        </w:rPr>
        <w:t>### 表1 风场模型性能指标（福建丘陵真实场景，数据来源 `scenarios/fujian_hills/metrics.json`）</w:t>
      </w:r>
    </w:p>
    <w:p/>
    <w:p>
      <w:pPr>
        <w:spacing w:line="240" w:lineRule="auto"/>
        <w:ind w:firstLine="480"/>
      </w:pPr>
      <w:r>
        <w:rPr>
          <w:rFonts w:ascii="宋体" w:hAnsi="宋体" w:eastAsia="宋体"/>
          <w:b w:val="0"/>
          <w:sz w:val="24"/>
        </w:rPr>
        <w:t>指标名称 | 纯物理模型 | 物理+残差修正 | 提升幅度</w:t>
      </w:r>
    </w:p>
    <w:p>
      <w:pPr>
        <w:spacing w:line="240" w:lineRule="auto"/>
        <w:ind w:firstLine="480"/>
      </w:pPr>
      <w:r>
        <w:rPr>
          <w:rFonts w:ascii="宋体" w:hAnsi="宋体" w:eastAsia="宋体"/>
          <w:b w:val="0"/>
          <w:sz w:val="24"/>
        </w:rPr>
        <w:t>风速预测RMSE | 0.588 m/s | 0.180 m/s | 降低69.4%</w:t>
      </w:r>
    </w:p>
    <w:p>
      <w:pPr>
        <w:spacing w:line="240" w:lineRule="auto"/>
        <w:ind w:firstLine="480"/>
      </w:pPr>
      <w:r>
        <w:rPr>
          <w:rFonts w:ascii="宋体" w:hAnsi="宋体" w:eastAsia="宋体"/>
          <w:b w:val="0"/>
          <w:sz w:val="24"/>
        </w:rPr>
        <w:t>垂直风预测MAE | 0.234 m/s | 0.065 m/s | 降低72.3%</w:t>
      </w:r>
    </w:p>
    <w:p>
      <w:pPr>
        <w:spacing w:line="240" w:lineRule="auto"/>
        <w:ind w:firstLine="480"/>
      </w:pPr>
      <w:r>
        <w:rPr>
          <w:rFonts w:ascii="宋体" w:hAnsi="宋体" w:eastAsia="宋体"/>
          <w:b w:val="0"/>
          <w:sz w:val="24"/>
        </w:rPr>
        <w:t>风向角预测MAE | — | 0.036 rad | —</w:t>
      </w:r>
    </w:p>
    <w:p/>
    <w:p>
      <w:pPr>
        <w:spacing w:line="240" w:lineRule="auto"/>
        <w:ind w:firstLine="480"/>
      </w:pPr>
      <w:r>
        <w:rPr>
          <w:rFonts w:ascii="宋体" w:hAnsi="宋体" w:eastAsia="宋体"/>
          <w:b w:val="0"/>
          <w:sz w:val="24"/>
        </w:rPr>
        <w:t>### 表2 路径规划算法性能指标</w:t>
      </w:r>
    </w:p>
    <w:p/>
    <w:p>
      <w:pPr>
        <w:spacing w:line="240" w:lineRule="auto"/>
        <w:ind w:firstLine="480"/>
      </w:pPr>
      <w:r>
        <w:rPr>
          <w:rFonts w:ascii="宋体" w:hAnsi="宋体" w:eastAsia="宋体"/>
          <w:b w:val="0"/>
          <w:sz w:val="24"/>
        </w:rPr>
        <w:t>指标名称 | 闭环规划 | 对比基线 | 对比结果</w:t>
      </w:r>
    </w:p>
    <w:p>
      <w:pPr>
        <w:spacing w:line="240" w:lineRule="auto"/>
        <w:ind w:firstLine="480"/>
      </w:pPr>
      <w:r>
        <w:rPr>
          <w:rFonts w:ascii="宋体" w:hAnsi="宋体" w:eastAsia="宋体"/>
          <w:b w:val="0"/>
          <w:sz w:val="24"/>
        </w:rPr>
        <w:t>CORE四场景均节能耗 | 相对直线 | 名义直线 | 节省10.1%</w:t>
      </w:r>
    </w:p>
    <w:p>
      <w:pPr>
        <w:spacing w:line="240" w:lineRule="auto"/>
        <w:ind w:firstLine="480"/>
      </w:pPr>
      <w:r>
        <w:rPr>
          <w:rFonts w:ascii="宋体" w:hAnsi="宋体" w:eastAsia="宋体"/>
          <w:b w:val="0"/>
          <w:sz w:val="24"/>
        </w:rPr>
        <w:t>HOLDOUT十六场景均节能耗 | 相对直线 | 名义直线 | 节省2.5%</w:t>
      </w:r>
    </w:p>
    <w:p>
      <w:pPr>
        <w:spacing w:line="240" w:lineRule="auto"/>
        <w:ind w:firstLine="480"/>
      </w:pPr>
      <w:r>
        <w:rPr>
          <w:rFonts w:ascii="宋体" w:hAnsi="宋体" w:eastAsia="宋体"/>
          <w:b w:val="0"/>
          <w:sz w:val="24"/>
        </w:rPr>
        <w:t>全部二十场景均节能耗 | 相对直线 | 名义直线 | 节省4.0%</w:t>
      </w:r>
    </w:p>
    <w:p/>
    <w:p>
      <w:pPr>
        <w:spacing w:line="240" w:lineRule="auto"/>
        <w:ind w:firstLine="480"/>
      </w:pPr>
      <w:r>
        <w:rPr>
          <w:rFonts w:ascii="宋体" w:hAnsi="宋体" w:eastAsia="宋体"/>
          <w:b w:val="0"/>
          <w:sz w:val="24"/>
        </w:rPr>
        <w:t>在二十个场景中，最初八场景构成评测主清单：台湾丘陵节省14.9%、福建丘陵节省11.2%、青海山脊节省19.6%、辽宁海岸节省9.4%、四川山前节省6.8%、山西黄土节省8.1%，北京平原与新疆戈壁等无明确收益场景则保持接近零的能耗差。八场景真实地形与粗风场如图10所示，能耗节省对比如图11所示。</w:t>
      </w:r>
    </w:p>
    <w:p/>
    <w:p>
      <w:r>
        <w:rPr>
          <w:rFonts w:ascii="宋体" w:hAnsi="宋体" w:eastAsia="宋体"/>
          <w:b/>
          <w:sz w:val="24"/>
        </w:rPr>
        <w:t>图7 福建丘陵场景——无人机航迹与地形叠加</w:t>
      </w:r>
    </w:p>
    <w:p/>
    <w:p>
      <w:r>
        <w:rPr>
          <w:rFonts w:ascii="宋体" w:hAnsi="宋体" w:eastAsia="宋体"/>
          <w:b/>
          <w:sz w:val="24"/>
        </w:rPr>
        <w:t>图8 福建丘陵场景——信念能量场与航迹演化</w:t>
      </w:r>
    </w:p>
    <w:p/>
    <w:p>
      <w:pPr>
        <w:spacing w:line="240" w:lineRule="auto"/>
        <w:ind w:firstLine="480"/>
      </w:pPr>
      <w:r>
        <w:rPr>
          <w:rFonts w:ascii="宋体" w:hAnsi="宋体" w:eastAsia="宋体"/>
          <w:b w:val="0"/>
          <w:sz w:val="24"/>
        </w:rPr>
        <w:t>**图9** 福建丘陵场景任务执行全过程的电量、距离、高度与能量获取率变化。</w:t>
      </w:r>
    </w:p>
    <w:p/>
    <w:p>
      <w:r>
        <w:rPr>
          <w:rFonts w:ascii="黑体" w:hAnsi="黑体" w:eastAsia="黑体"/>
          <w:b/>
          <w:sz w:val="24"/>
        </w:rPr>
        <w:t>五、应用前景</w:t>
      </w:r>
    </w:p>
    <w:p/>
    <w:p>
      <w:pPr>
        <w:spacing w:line="240" w:lineRule="auto"/>
        <w:ind w:firstLine="480"/>
      </w:pPr>
      <w:r>
        <w:rPr>
          <w:rFonts w:ascii="宋体" w:hAnsi="宋体" w:eastAsia="宋体"/>
          <w:b w:val="0"/>
          <w:sz w:val="24"/>
        </w:rPr>
        <w:t>本研究的预期成果包括：一套面向低空环境的物理-数据混合风场感知算法，一套信念地图驱动的在线不确定性管理机制，一套进度感知的全路线联合优化规划算法，以及一套可在机载嵌入式平台实时运行的完整系统原型。</w:t>
      </w:r>
    </w:p>
    <w:p/>
    <w:p>
      <w:pPr>
        <w:spacing w:line="240" w:lineRule="auto"/>
        <w:ind w:firstLine="480"/>
      </w:pPr>
      <w:r>
        <w:rPr>
          <w:rFonts w:ascii="宋体" w:hAnsi="宋体" w:eastAsia="宋体"/>
          <w:b w:val="0"/>
          <w:sz w:val="24"/>
        </w:rPr>
        <w:t>已实现的主要指标包括：风速预测RMSE降低69.4%；垂直风预测MAE降低72.3%；二十个真实场景闭环评测相对名义直线均节能耗4.0%，CORE四场景达10.1%；单次全路径规划时间控制在500毫秒以内；物理风场下推计算耗时控制在100毫秒以内。综合技术指标如表3所示。</w:t>
      </w:r>
    </w:p>
    <w:p/>
    <w:p>
      <w:pPr>
        <w:spacing w:line="240" w:lineRule="auto"/>
        <w:ind w:firstLine="480"/>
      </w:pPr>
      <w:r>
        <w:rPr>
          <w:rFonts w:ascii="宋体" w:hAnsi="宋体" w:eastAsia="宋体"/>
          <w:b w:val="0"/>
          <w:sz w:val="24"/>
        </w:rPr>
        <w:t>### 表3 综合技术指标</w:t>
      </w:r>
    </w:p>
    <w:p/>
    <w:p>
      <w:pPr>
        <w:spacing w:line="240" w:lineRule="auto"/>
        <w:ind w:firstLine="480"/>
      </w:pPr>
      <w:r>
        <w:rPr>
          <w:rFonts w:ascii="宋体" w:hAnsi="宋体" w:eastAsia="宋体"/>
          <w:b w:val="0"/>
          <w:sz w:val="24"/>
        </w:rPr>
        <w:t>指标类别 | 具体指标 | 数值</w:t>
      </w:r>
    </w:p>
    <w:p>
      <w:pPr>
        <w:spacing w:line="240" w:lineRule="auto"/>
        <w:ind w:firstLine="480"/>
      </w:pPr>
      <w:r>
        <w:rPr>
          <w:rFonts w:ascii="宋体" w:hAnsi="宋体" w:eastAsia="宋体"/>
          <w:b w:val="0"/>
          <w:sz w:val="24"/>
        </w:rPr>
        <w:t>风场感知精度 | 风速预测RMSE降低 | 69.4%</w:t>
      </w:r>
    </w:p>
    <w:p>
      <w:pPr>
        <w:spacing w:line="240" w:lineRule="auto"/>
        <w:ind w:firstLine="480"/>
      </w:pPr>
      <w:r>
        <w:rPr>
          <w:rFonts w:ascii="宋体" w:hAnsi="宋体" w:eastAsia="宋体"/>
          <w:b w:val="0"/>
          <w:sz w:val="24"/>
        </w:rPr>
        <w:t>风场感知精度 | 垂直风预测MAE降低 | 72.3%</w:t>
      </w:r>
    </w:p>
    <w:p>
      <w:pPr>
        <w:spacing w:line="240" w:lineRule="auto"/>
        <w:ind w:firstLine="480"/>
      </w:pPr>
      <w:r>
        <w:rPr>
          <w:rFonts w:ascii="宋体" w:hAnsi="宋体" w:eastAsia="宋体"/>
          <w:b w:val="0"/>
          <w:sz w:val="24"/>
        </w:rPr>
        <w:t>路径规划效果 | 相比直线路径能耗节省（二十场景均值） | 4.0%</w:t>
      </w:r>
    </w:p>
    <w:p>
      <w:pPr>
        <w:spacing w:line="240" w:lineRule="auto"/>
        <w:ind w:firstLine="480"/>
      </w:pPr>
      <w:r>
        <w:rPr>
          <w:rFonts w:ascii="宋体" w:hAnsi="宋体" w:eastAsia="宋体"/>
          <w:b w:val="0"/>
          <w:sz w:val="24"/>
        </w:rPr>
        <w:t>路径规划效果 | 额外路径距离（相对名义直线，八场景均值） | 约1%</w:t>
      </w:r>
    </w:p>
    <w:p/>
    <w:p>
      <w:pPr>
        <w:spacing w:line="240" w:lineRule="auto"/>
        <w:ind w:firstLine="480"/>
      </w:pPr>
      <w:r>
        <w:rPr>
          <w:rFonts w:ascii="宋体" w:hAnsi="宋体" w:eastAsia="宋体"/>
          <w:b w:val="0"/>
          <w:sz w:val="24"/>
        </w:rPr>
        <w:t>在应用价值方面，本研究成果可服务于电力线路与管道巡检、应急救援与灾情侦察、城市低空物流、农业植保与复杂地形科考等低空经济核心场景。</w:t>
      </w:r>
    </w:p>
    <w:p/>
    <w:p>
      <w:r>
        <w:rPr>
          <w:rFonts w:ascii="黑体" w:hAnsi="黑体" w:eastAsia="黑体"/>
          <w:b/>
          <w:sz w:val="24"/>
        </w:rPr>
        <w:t>六、挑战性和不确定性</w:t>
      </w:r>
    </w:p>
    <w:p/>
    <w:p>
      <w:pPr>
        <w:spacing w:line="240" w:lineRule="auto"/>
        <w:ind w:firstLine="480"/>
      </w:pPr>
      <w:r>
        <w:rPr>
          <w:rFonts w:ascii="宋体" w:hAnsi="宋体" w:eastAsia="宋体"/>
          <w:b w:val="0"/>
          <w:sz w:val="24"/>
        </w:rPr>
        <w:t>本研究在推进过程中面临物理基线与残差学习耦合质量、信念地图在线更新计算量、机载传感器噪声传递、进度感知MPC实时性约束，以及仿真到实机迁移等挑战。对策包括：物理基线置信度评估、信念地图多分辨率表示、自适应搜索深度策略，以及从仿真到实机的渐进式验证计划。</w:t>
      </w:r>
    </w:p>
    <w:p/>
    <w:p>
      <w:r>
        <w:rPr>
          <w:rFonts w:ascii="黑体" w:hAnsi="黑体" w:eastAsia="黑体"/>
          <w:b/>
          <w:sz w:val="24"/>
        </w:rPr>
        <w:t>参考文献</w:t>
      </w:r>
    </w:p>
    <w:p/>
    <w:p>
      <w:pPr>
        <w:spacing w:line="240" w:lineRule="auto"/>
        <w:ind w:firstLine="480"/>
      </w:pPr>
      <w:r>
        <w:rPr>
          <w:rFonts w:ascii="宋体" w:hAnsi="宋体" w:eastAsia="宋体"/>
          <w:b w:val="0"/>
          <w:sz w:val="24"/>
        </w:rPr>
        <w:t>[1] ……（按竞赛格式规范补充正式文献）</w:t>
      </w:r>
    </w:p>
    <w:p/>
    <w:p>
      <w:r>
        <w:rPr>
          <w:rFonts w:ascii="黑体" w:hAnsi="黑体" w:eastAsia="黑体"/>
          <w:b/>
          <w:sz w:val="24"/>
        </w:rPr>
        <w:t>配图与 charts 目录对应关系（2026-08-22）</w:t>
      </w:r>
    </w:p>
    <w:p/>
    <w:p>
      <w:pPr>
        <w:spacing w:line="240" w:lineRule="auto"/>
        <w:ind w:firstLine="480"/>
      </w:pPr>
      <w:r>
        <w:rPr>
          <w:rFonts w:ascii="宋体" w:hAnsi="宋体" w:eastAsia="宋体"/>
          <w:b w:val="0"/>
          <w:sz w:val="24"/>
        </w:rPr>
        <w:t>图号 | 图题 | 图表文件</w:t>
      </w:r>
    </w:p>
    <w:p>
      <w:pPr>
        <w:spacing w:line="240" w:lineRule="auto"/>
        <w:ind w:firstLine="480"/>
      </w:pPr>
      <w:r>
        <w:rPr>
          <w:rFonts w:ascii="宋体" w:hAnsi="宋体" w:eastAsia="宋体"/>
          <w:b w:val="0"/>
          <w:sz w:val="24"/>
        </w:rPr>
        <w:t>图2 | 福建丘陵风场降尺度效果对比 | charts/05_wind_field_maps_*.png</w:t>
      </w:r>
    </w:p>
    <w:p>
      <w:pPr>
        <w:spacing w:line="240" w:lineRule="auto"/>
        <w:ind w:firstLine="480"/>
      </w:pPr>
      <w:r>
        <w:rPr>
          <w:rFonts w:ascii="宋体" w:hAnsi="宋体" w:eastAsia="宋体"/>
          <w:b w:val="0"/>
          <w:sz w:val="24"/>
        </w:rPr>
        <w:t>图3 | 残差学习特征重要性 | charts/02_feature_importance.png</w:t>
      </w:r>
    </w:p>
    <w:p>
      <w:pPr>
        <w:spacing w:line="240" w:lineRule="auto"/>
        <w:ind w:firstLine="480"/>
      </w:pPr>
      <w:r>
        <w:rPr>
          <w:rFonts w:ascii="宋体" w:hAnsi="宋体" w:eastAsia="宋体"/>
          <w:b w:val="0"/>
          <w:sz w:val="24"/>
        </w:rPr>
        <w:t>图4 | 物理 vs ML 性能对比 | charts/03_model_performance.png</w:t>
      </w:r>
    </w:p>
    <w:p>
      <w:pPr>
        <w:spacing w:line="240" w:lineRule="auto"/>
        <w:ind w:firstLine="480"/>
      </w:pPr>
      <w:r>
        <w:rPr>
          <w:rFonts w:ascii="宋体" w:hAnsi="宋体" w:eastAsia="宋体"/>
          <w:b w:val="0"/>
          <w:sz w:val="24"/>
        </w:rPr>
        <w:t>图5 | 福建丘陵信念校准 | charts/23_belief_vs_reality_*.png</w:t>
      </w:r>
    </w:p>
    <w:p>
      <w:pPr>
        <w:spacing w:line="240" w:lineRule="auto"/>
        <w:ind w:firstLine="480"/>
      </w:pPr>
      <w:r>
        <w:rPr>
          <w:rFonts w:ascii="宋体" w:hAnsi="宋体" w:eastAsia="宋体"/>
          <w:b w:val="0"/>
          <w:sz w:val="24"/>
        </w:rPr>
        <w:t>图6 | 福建丘陵信念引导路径规划 | charts/24_belief_path_planning_*.png</w:t>
      </w:r>
    </w:p>
    <w:p>
      <w:pPr>
        <w:spacing w:line="240" w:lineRule="auto"/>
        <w:ind w:firstLine="480"/>
      </w:pPr>
      <w:r>
        <w:rPr>
          <w:rFonts w:ascii="宋体" w:hAnsi="宋体" w:eastAsia="宋体"/>
          <w:b w:val="0"/>
          <w:sz w:val="24"/>
        </w:rPr>
        <w:t>图7 | 福建丘陵航迹与地形叠加 | charts/08_trajectory_map.png</w:t>
      </w:r>
    </w:p>
    <w:p>
      <w:pPr>
        <w:spacing w:line="240" w:lineRule="auto"/>
        <w:ind w:firstLine="480"/>
      </w:pPr>
      <w:r>
        <w:rPr>
          <w:rFonts w:ascii="宋体" w:hAnsi="宋体" w:eastAsia="宋体"/>
          <w:b w:val="0"/>
          <w:sz w:val="24"/>
        </w:rPr>
        <w:t>图8 | 福建丘陵信念能量场与航迹 | charts/22_belief_energy_path.png</w:t>
      </w:r>
    </w:p>
    <w:p>
      <w:pPr>
        <w:spacing w:line="240" w:lineRule="auto"/>
        <w:ind w:firstLine="480"/>
      </w:pPr>
      <w:r>
        <w:rPr>
          <w:rFonts w:ascii="宋体" w:hAnsi="宋体" w:eastAsia="宋体"/>
          <w:b w:val="0"/>
          <w:sz w:val="24"/>
        </w:rPr>
        <w:t>图9 | 福建丘陵任务执行剖面 | charts/07_mission_profile_*.png</w:t>
      </w:r>
    </w:p>
    <w:p>
      <w:pPr>
        <w:spacing w:line="240" w:lineRule="auto"/>
        <w:ind w:firstLine="480"/>
      </w:pPr>
      <w:r>
        <w:rPr>
          <w:rFonts w:ascii="宋体" w:hAnsi="宋体" w:eastAsia="宋体"/>
          <w:b w:val="0"/>
          <w:sz w:val="24"/>
        </w:rPr>
        <w:t>图10 | 八场景地形与粗风 | charts/25_eight_scenarios_terrain_*.png</w:t>
      </w:r>
    </w:p>
    <w:p>
      <w:pPr>
        <w:spacing w:line="240" w:lineRule="auto"/>
        <w:ind w:firstLine="480"/>
      </w:pPr>
      <w:r>
        <w:rPr>
          <w:rFonts w:ascii="宋体" w:hAnsi="宋体" w:eastAsia="宋体"/>
          <w:b w:val="0"/>
          <w:sz w:val="24"/>
        </w:rPr>
        <w:t>图11 | 八场景能耗节省对比 | charts/26_eight_scenarios_energy.png</w:t>
      </w:r>
    </w:p>
    <w:p/>
    <w:p>
      <w:pPr>
        <w:spacing w:line="240" w:lineRule="auto"/>
        <w:ind w:firstLine="480"/>
      </w:pPr>
      <w:r>
        <w:rPr>
          <w:rFonts w:ascii="宋体" w:hAnsi="宋体" w:eastAsia="宋体"/>
          <w:b w:val="0"/>
          <w:sz w:val="24"/>
        </w:rPr>
        <w:t>单场景配图数据：`runs/fujian_hills_viz/`；二十场景能耗汇总：`multi-scenario-energy-20260810-202627`。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