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9f35f61c51efa5ceb35ff7710fe618278b9d0f26.png"/>
            <a:graphic>
              <a:graphicData uri="http://schemas.openxmlformats.org/drawingml/2006/picture">
                <pic:pic>
                  <pic:nvPicPr>
                    <pic:cNvPr id="1" name="image-9f35f61c51efa5ceb35ff7710fe618278b9d0f2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ты_аналитик_данных_проведи_анализ_dad7a0"/>
      <w:r>
        <w:rPr>
          <w:rFonts w:eastAsia="georgia" w:cs="georgia" w:ascii="georgia" w:hAnsi="georgia"/>
          <w:b/>
          <w:color w:val="000000"/>
          <w:sz w:val="39"/>
        </w:rPr>
        <w:t xml:space="preserve">Ты аналитик данных. Проведи анализ потребностей: чего хотят участники, жители района и руководители. Выдели ключевые показатели эффективности и предложи компромиссное решение с определением зон ответственности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— структурированный разбор по трем группам (участники, жители, руководители), набор KPI и вариант компромиссного решения с распределением зон ответственности.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" w:name="bm_1_чего_хотят_участники_жители_33629c"/>
      <w:r>
        <w:rPr>
          <w:rFonts w:eastAsia="georgia" w:cs="georgia" w:ascii="georgia" w:hAnsi="georgia"/>
          <w:b/>
          <w:color w:val="000000"/>
          <w:sz w:val="24"/>
        </w:rPr>
        <w:t xml:space="preserve">1. Чего хотят участники, жители и руководители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участники_инициативной_группы_и_а_1057e2"/>
      <w:r>
        <w:rPr>
          <w:rFonts w:eastAsia="georgia" w:cs="georgia" w:ascii="georgia" w:hAnsi="georgia"/>
          <w:b/>
          <w:color w:val="000000"/>
          <w:sz w:val="24"/>
        </w:rPr>
        <w:t xml:space="preserve">Участники инициативной группы и активные участники проекта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Ключевые потребности участников: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Постоянный доступ к своим посадкам, возможность приходить и ухаживать за ними не только в дни акций.</w:t>
      </w:r>
      <w:bookmarkStart w:id="4" w:name="fnref1_1"/>
      <w:bookmarkEnd w:id="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Запрет на перепланировку их клумб без согласования, важна стабильность и ощущение «личной ответственности» за участок.</w:t>
      </w:r>
      <w:bookmarkStart w:id="5" w:name="fnref1_2"/>
      <w:bookmarkEnd w:id="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Право выбора семян и рассады, а также ориентация на многолетние цветы и декоративные кустарники (78% опрошенных).</w:t>
      </w:r>
      <w:bookmarkStart w:id="6" w:name="fnref1_3"/>
      <w:bookmarkEnd w:id="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Символическая идентичность: именные таблички на клумбах (65% опрошенных).</w:t>
      </w:r>
      <w:bookmarkStart w:id="7" w:name="fnref1_4"/>
      <w:bookmarkEnd w:id="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Обучение и общение: мастер‑классы по садоводству на месте (42% опрошенных).</w:t>
      </w:r>
      <w:bookmarkStart w:id="8" w:name="fnref1_5"/>
      <w:bookmarkEnd w:id="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Часть участников готова вкладываться материально (12% готовы самостоятельно закупать удобрения).</w:t>
      </w:r>
      <w:bookmarkStart w:id="9" w:name="fnref1_6"/>
      <w:bookmarkEnd w:id="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обобщить, участники хотят устойчивого «парка долголетия» как живого, ухоженного пространства, с которым они связаны личным вкладом и именами.</w:t>
      </w:r>
      <w:bookmarkStart w:id="10" w:name="fnref1_7"/>
      <w:bookmarkEnd w:id="1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1" w:name="жители_района"/>
      <w:r>
        <w:rPr>
          <w:rFonts w:eastAsia="georgia" w:cs="georgia" w:ascii="georgia" w:hAnsi="georgia"/>
          <w:b/>
          <w:color w:val="000000"/>
          <w:sz w:val="24"/>
        </w:rPr>
        <w:t xml:space="preserve">Жители района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Жители района, в том числе не участвующие в инициативе, в первую очередь ориентируются на комфорт повседневного использования парка. Основные запросы и опасения:</w:t>
      </w:r>
      <w:bookmarkStart w:id="12" w:name="fnref1_8"/>
      <w:bookmarkEnd w:id="1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Тихая зона отдыха — без постоянного шума и массовых собраний под окнами.</w:t>
      </w:r>
      <w:bookmarkStart w:id="13" w:name="fnref1_9"/>
      <w:bookmarkEnd w:id="1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Чтобы новые активности не загромождали тропы и центральные аллеи, сохранялась удобная проходимость.</w:t>
      </w:r>
      <w:bookmarkStart w:id="14" w:name="fnref1_10"/>
      <w:bookmarkEnd w:id="1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Сохранение свободного пространства для выгула собак в смежных зонах.</w:t>
      </w:r>
      <w:bookmarkStart w:id="15" w:name="fnref1_11"/>
      <w:bookmarkEnd w:id="1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сути, жители хотят, чтобы новые инициативы не ухудшили привычный сценарий использования парка (прогулки, отдых, дети, собаки) и не создали дополнительных неудобств.</w:t>
      </w:r>
      <w:bookmarkStart w:id="16" w:name="fnref1_12"/>
      <w:bookmarkEnd w:id="1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7" w:name="руководители_администрация_парка_241e13"/>
      <w:r>
        <w:rPr>
          <w:rFonts w:eastAsia="georgia" w:cs="georgia" w:ascii="georgia" w:hAnsi="georgia"/>
          <w:b/>
          <w:color w:val="000000"/>
          <w:sz w:val="24"/>
        </w:rPr>
        <w:t xml:space="preserve">Руководители (администрация парка и муниципальные руководители)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 руководителей — своя логика ответственности и отчетности. В приоритете:</w:t>
      </w:r>
      <w:bookmarkStart w:id="18" w:name="fnref1_13"/>
      <w:bookmarkEnd w:id="1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Соблюдение графика отчетности по благоустройству (чёткие, проверяемые показатели работы).</w:t>
      </w:r>
      <w:bookmarkStart w:id="19" w:name="fnref1_14"/>
      <w:bookmarkEnd w:id="1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Отсутствие дополнительных затрат из фонда оплаты труда (инициатива не должна «раздуть» расходы на персонал).</w:t>
      </w:r>
      <w:bookmarkStart w:id="20" w:name="fnref1_15"/>
      <w:bookmarkEnd w:id="2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Безопасность конструкций и покрытий (никаких травмоопасных элементов, нарушений правил благоустройства).</w:t>
      </w:r>
      <w:bookmarkStart w:id="21" w:name="fnref1_16"/>
      <w:bookmarkEnd w:id="2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администрации парка — чтобы формат не превратился в постоянную неконтролируемую «любительскую переделку» (опасение нарушения ландшафтного кода), при этом ответственность за вывоз мусора и полив всё равно остается на них.</w:t>
      </w:r>
      <w:bookmarkStart w:id="22" w:name="fnref1_17"/>
      <w:bookmarkEnd w:id="2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муниципальной службы — обеспечить профессиональное содержание объекта и своевременный ремонт малых архитектурных форм, при риске, что инвентарь может быть испорчен.</w:t>
      </w:r>
      <w:bookmarkStart w:id="23" w:name="fnref1_18"/>
      <w:bookmarkEnd w:id="2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Руководители в целом не против активности, но хотят, чтобы она была формализована, контролируема, не создавала дополнительных рисков и расходов сверх имеющегося бюджета (320 000 руб. на сектор).</w:t>
      </w:r>
      <w:bookmarkStart w:id="24" w:name="fnref1_19"/>
      <w:bookmarkEnd w:id="2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5" w:name="bm_2_ключевые_показатели_эффектив_daa4db"/>
      <w:r>
        <w:rPr>
          <w:rFonts w:eastAsia="georgia" w:cs="georgia" w:ascii="georgia" w:hAnsi="georgia"/>
          <w:b/>
          <w:color w:val="000000"/>
          <w:sz w:val="24"/>
        </w:rPr>
        <w:t xml:space="preserve">2. Ключевые показатели эффективности (KPI)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— набор KPI, который одновременно «отвечает» интересам всех сторон и ложится в логику отчетности.</w:t>
      </w:r>
    </w:p>
    <w:p>
      <w:pPr>
        <w:spacing w:line="360" w:before="315" w:after="105" w:lineRule="auto"/>
        <w:ind w:left="-30"/>
        <w:jc w:val="left"/>
      </w:pPr>
      <w:bookmarkStart w:id="26" w:name="для_участников_и_качества_среды"/>
      <w:r>
        <w:rPr>
          <w:rFonts w:eastAsia="georgia" w:cs="georgia" w:ascii="georgia" w:hAnsi="georgia"/>
          <w:b/>
          <w:color w:val="000000"/>
          <w:sz w:val="24"/>
        </w:rPr>
        <w:t xml:space="preserve">Для участников и качества среды</w:t>
      </w:r>
      <w:bookmarkEnd w:id="26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Доля клумб, закрепленных за участниками (с именными табличками): целевой показатель, например 70–80% от доступных клумб.</w:t>
      </w:r>
      <w:bookmarkStart w:id="27" w:name="fnref1_20"/>
      <w:bookmarkEnd w:id="2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Количество активных участников, регулярно работающих на участке (в месяц): например, не менее 50–70 человек из 850 активных в районе.</w:t>
      </w:r>
      <w:bookmarkStart w:id="28" w:name="fnref1_21"/>
      <w:bookmarkEnd w:id="2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Количество проведенных мастер‑классов по садоводству на месте (в год/квартал): например, 1–2 в квартал.</w:t>
      </w:r>
      <w:bookmarkStart w:id="29" w:name="fnref1_22"/>
      <w:bookmarkEnd w:id="2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Уровень удовлетворенности участников по опросам (анкета после сезона, цель — высокий/выше среднего уровень, например 4 из 5).</w:t>
      </w:r>
    </w:p>
    <w:p>
      <w:pPr>
        <w:spacing w:line="360" w:before="315" w:after="105" w:lineRule="auto"/>
        <w:ind w:left="-30"/>
        <w:jc w:val="left"/>
      </w:pPr>
      <w:bookmarkStart w:id="30" w:name="для_жителей_района"/>
      <w:r>
        <w:rPr>
          <w:rFonts w:eastAsia="georgia" w:cs="georgia" w:ascii="georgia" w:hAnsi="georgia"/>
          <w:b/>
          <w:color w:val="000000"/>
          <w:sz w:val="24"/>
        </w:rPr>
        <w:t xml:space="preserve">Для жителей района</w:t>
      </w:r>
      <w:bookmarkEnd w:id="30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Среднее количество жалоб на состояние газона/клумб/загромождение троп: снижение от текущих 12 жалоб за квартал до целевого значения (например, не более 5–6).</w:t>
      </w:r>
      <w:bookmarkStart w:id="31" w:name="fnref1_23"/>
      <w:bookmarkEnd w:id="3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Уровень жалоб на шум и загромождение троп (в разрезе сезона): цель — не допустить роста, фиксировать и снижать по мере настройки регламентов.</w:t>
      </w:r>
      <w:bookmarkStart w:id="32" w:name="fnref1_24"/>
      <w:bookmarkEnd w:id="3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Средняя посещаемость сектора (сейчас 140 человек в день) — не падение, а, наоборот, стабильность или умеренный рост при сохранении комфортности.</w:t>
      </w:r>
      <w:bookmarkStart w:id="33" w:name="fnref1_25"/>
      <w:bookmarkEnd w:id="3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4" w:name="для_руководителей_и_управляемости_5a8777"/>
      <w:r>
        <w:rPr>
          <w:rFonts w:eastAsia="georgia" w:cs="georgia" w:ascii="georgia" w:hAnsi="georgia"/>
          <w:b/>
          <w:color w:val="000000"/>
          <w:sz w:val="24"/>
        </w:rPr>
        <w:t xml:space="preserve">Для руководителей и управляемости проекта</w:t>
      </w:r>
      <w:bookmarkEnd w:id="34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Соблюдение годового/квартального плана по благоустройству (все мероприятия выполнены в срок, без штрафных замечаний надзорных органов).</w:t>
      </w:r>
      <w:bookmarkStart w:id="35" w:name="fnref1_26"/>
      <w:bookmarkEnd w:id="3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Отсутствие увеличения фонда оплаты труда: инициативы реализованы в рамках существующего бюджета на содержание сектора (320 000 руб.) и имеющегося инвентаря (лопаты, лейки, грабли).</w:t>
      </w:r>
      <w:bookmarkStart w:id="36" w:name="fnref1_27"/>
      <w:bookmarkEnd w:id="3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Количество инцидентов, связанных с безопасностью (несчастные случаи, повреждение конструкций) — целевое значение: 0 зарегистрированных случаев.</w:t>
      </w:r>
      <w:bookmarkStart w:id="37" w:name="fnref1_28"/>
      <w:bookmarkEnd w:id="3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Количество позитивных публикаций в СМИ и районных пабликах (сейчас 2 материала в год и 45 постов в пабликах в месяц): целевой рост числа упоминаний с позитивной повесткой.</w:t>
      </w:r>
      <w:bookmarkStart w:id="38" w:name="fnref1_29"/>
      <w:bookmarkEnd w:id="3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9" w:name="bm_3_компромиссное_решение_и_зоны_18fa7a"/>
      <w:r>
        <w:rPr>
          <w:rFonts w:eastAsia="georgia" w:cs="georgia" w:ascii="georgia" w:hAnsi="georgia"/>
          <w:b/>
          <w:color w:val="000000"/>
          <w:sz w:val="24"/>
        </w:rPr>
        <w:t xml:space="preserve">3. Компромиссное решение и зоны ответственности</w:t>
      </w:r>
      <w:bookmarkEnd w:id="39"/>
    </w:p>
    <w:p>
      <w:pPr>
        <w:spacing w:line="360" w:before="315" w:after="105" w:lineRule="auto"/>
        <w:ind w:left="-30"/>
        <w:jc w:val="left"/>
      </w:pPr>
      <w:bookmarkStart w:id="40" w:name="компромиссная_модель_парк_долголетия"/>
      <w:r>
        <w:rPr>
          <w:rFonts w:eastAsia="georgia" w:cs="georgia" w:ascii="georgia" w:hAnsi="georgia"/>
          <w:b/>
          <w:color w:val="000000"/>
          <w:sz w:val="24"/>
        </w:rPr>
        <w:t xml:space="preserve">Компромиссная модель «Парк долголетия»</w:t>
      </w:r>
      <w:bookmarkEnd w:id="4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Предлагаем рассматривать инициативу как «регламентированный совместный участок», где права участников, жителей и руководителей закреплены через понятные правила.</w:t>
      </w:r>
      <w:bookmarkStart w:id="41" w:name="fnref1_30"/>
      <w:bookmarkEnd w:id="4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Основные элементы компромисса: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Участникам предоставляется постоянный доступ к посадкам в юго‑западном секторе, но с четко согласованными границами клумб и перечнем допустимых культур (с учетом ландшафтного кода).</w:t>
      </w:r>
      <w:bookmarkStart w:id="42" w:name="fnref1_31"/>
      <w:bookmarkEnd w:id="4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Закрепление клумб и именные таблички происходят через официальный список участников и визуальный стандарт таблички (единый формат, материалы, размер).</w:t>
      </w:r>
      <w:bookmarkStart w:id="43" w:name="fnref1_32"/>
      <w:bookmarkEnd w:id="4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Администрация парка утверждает дизайн‑концепцию сектора: высота растений, цветовые решения, проходы, чтобы не нарушать проходимость аллей и требования безопасности.</w:t>
      </w:r>
      <w:bookmarkStart w:id="44" w:name="fnref1_33"/>
      <w:bookmarkEnd w:id="4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Вводится регламент: дни и часы, когда возможны массовые работы и мастер‑классы, чтобы учитывать запрос жителей на тишину и отсутствие перегрузки детских/центральных зон.</w:t>
      </w:r>
      <w:bookmarkStart w:id="45" w:name="fnref1_34"/>
      <w:bookmarkEnd w:id="4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Собачьи маршруты и зоны выгула сохраняются в смежных зонах без «захвата» троп под клумбы.</w:t>
      </w:r>
      <w:bookmarkStart w:id="46" w:name="fnref1_35"/>
      <w:bookmarkEnd w:id="4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7" w:name="зоны_ответственности_сторон"/>
      <w:r>
        <w:rPr>
          <w:rFonts w:eastAsia="georgia" w:cs="georgia" w:ascii="georgia" w:hAnsi="georgia"/>
          <w:b/>
          <w:color w:val="000000"/>
          <w:sz w:val="24"/>
        </w:rPr>
        <w:t xml:space="preserve">Зоны ответственности сторон</w:t>
      </w:r>
      <w:bookmarkEnd w:id="4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Участники инициативной группы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Планирование и посадка растений в рамках согласованного перечня и дизайн‑концепции.</w:t>
      </w:r>
      <w:bookmarkStart w:id="48" w:name="fnref1_36"/>
      <w:bookmarkEnd w:id="4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Регулярный уход за закрепленными клумбами (прополка, мелкая ручная уборка, информирование о проблемах).</w:t>
      </w:r>
      <w:bookmarkStart w:id="49" w:name="fnref1_37"/>
      <w:bookmarkEnd w:id="4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Соблюдение тишины и порядка во время работ, не загромождение основных троп инвентарем и контейнерами.</w:t>
      </w:r>
      <w:bookmarkStart w:id="50" w:name="fnref1_38"/>
      <w:bookmarkEnd w:id="5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Ответственное использование выданного инвентаря, соблюдение правил безопасности.</w:t>
      </w:r>
      <w:bookmarkStart w:id="51" w:name="fnref1_39"/>
      <w:bookmarkEnd w:id="5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Администрация парка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Предоставление участка, согласование схемы размещения клумб и проходов, контроль соответствия ландшафтному коду.</w:t>
      </w:r>
      <w:bookmarkStart w:id="52" w:name="fnref1_40"/>
      <w:bookmarkEnd w:id="5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Организация вывоза мусора и полива в рамках текущего бюджета и графика.</w:t>
      </w:r>
      <w:bookmarkStart w:id="53" w:name="fnref1_41"/>
      <w:bookmarkEnd w:id="5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Координация с муниципальной службой по вопросам ремонта малых форм и безопасности покрытий.</w:t>
      </w:r>
      <w:bookmarkStart w:id="54" w:name="fnref1_42"/>
      <w:bookmarkEnd w:id="5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Ведение базы закрепленных клумб и участников, согласование табличек и общих правил пользования.</w:t>
      </w:r>
      <w:bookmarkStart w:id="55" w:name="fnref1_43"/>
      <w:bookmarkEnd w:id="5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Муниципальная служба и руководители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Определение общих нормативов и требований (безопасность, стандарты благоустройства, допустимые элементы озеленения).</w:t>
      </w:r>
      <w:bookmarkStart w:id="56" w:name="fnref1_44"/>
      <w:bookmarkEnd w:id="5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Контроль исполнения KPI: отчетность по благоустройству, бюджет, отсутствие роста затрат на персонал.</w:t>
      </w:r>
      <w:bookmarkStart w:id="57" w:name="fnref1_45"/>
      <w:bookmarkEnd w:id="5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Организация и поддержка системы обратной связи (участники + жители), фиксация жалоб и предложений, реагирование на инциденты.</w:t>
      </w:r>
      <w:bookmarkStart w:id="58" w:name="fnref1_46"/>
      <w:bookmarkEnd w:id="5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Жители района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Соблюдение правил парка, в том числе бережное отношение к посадкам, скамейкам и малым формам.</w:t>
      </w:r>
      <w:bookmarkStart w:id="59" w:name="fnref1_47"/>
      <w:bookmarkEnd w:id="5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Обозначение своих замечаний и предложений через официальные каналы, участие в открытых обсуждениях (при желании).</w:t>
      </w:r>
      <w:bookmarkStart w:id="60" w:name="fnref1_48"/>
      <w:bookmarkEnd w:id="6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Такой подход позволяет участникам реализовать свой интерес к долгосрочному озеленению и «своей» зоне в парке, жителям — сохранить комфорт и привычный уклад, а руководителям — иметь прозрачную систему KPI и управляемую модель без роста неконтролируемых расходов и рисков.</w:t>
      </w:r>
      <w:bookmarkStart w:id="61" w:name="fnref1_49"/>
      <w:bookmarkEnd w:id="6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62" w:name="fn1"/>
    <w:bookmarkEnd w:id="62"/>
    <w:p>
      <w:pPr>
        <w:numPr>
          <w:ilvl w:val="0"/>
          <w:numId w:val="13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8062.pdf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f35f61c51efa5ceb35ff7710fe618278b9d0f26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2026-03-19T13:22:32.945Z</dcterms:created>
  <dcterms:modified xsi:type="dcterms:W3CDTF">2026-03-19T13:22:32.945Z</dcterms:modified>
</cp:coreProperties>
</file>