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Уважаемые участники группы № 12‑СЖ</w:t>
      </w:r>
      <w:r>
        <w:rPr>
          <w:rFonts w:eastAsia="Georgia" w:hAnsi="Georgia" w:cs="Georgia"/>
          <w:color w:val="000000"/>
        </w:rPr>
        <w:br/>
        <w:t>проекта «Московское долголетие»!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Руководство проекта рассмотрело ваше коллективное обращение по ситуации, возникшей на онлайн‑занятии курса «Счастливая жизнь» с участием преподавателя Смирновой И.И. Благодарим вас за то, что вы подробно описали произошедшее и открыто сообщили о своем эмоциональном состоянии.</w:t>
      </w:r>
      <w:bookmarkStart w:id="1" w:name="fnref1_1"/>
      <w:bookmarkEnd w:id="1"/>
      <w:r w:rsidR="00DC5B71">
        <w:t xml:space="preserve"> </w:t>
      </w:r>
    </w:p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Из вашего обращения следует, что </w:t>
      </w:r>
      <w:proofErr w:type="gramStart"/>
      <w:r>
        <w:rPr>
          <w:rFonts w:eastAsia="Georgia" w:hAnsi="Georgia" w:cs="Georgia"/>
          <w:color w:val="000000"/>
        </w:rPr>
        <w:t>во</w:t>
      </w:r>
      <w:r w:rsidR="00DC5B71"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время</w:t>
      </w:r>
      <w:proofErr w:type="gramEnd"/>
      <w:r>
        <w:rPr>
          <w:rFonts w:eastAsia="Georgia" w:hAnsi="Georgia" w:cs="Georgia"/>
          <w:color w:val="000000"/>
        </w:rPr>
        <w:t xml:space="preserve"> онлайн‑занятия преподаватель в резкой форме потребовала от всех слушателей включить видеокамеры и использовала выражение о «черных квадратах», которое вы восприняли как оскорбительное сравнение. Также была озвучена угроза завершить занятие в случае, если камеры не будут включены у всех участников в течение двух минут, вследствие чего пять человек покинули конференцию из‑</w:t>
      </w:r>
      <w:proofErr w:type="gramStart"/>
      <w:r>
        <w:rPr>
          <w:rFonts w:eastAsia="Georgia" w:hAnsi="Georgia" w:cs="Georgia"/>
          <w:color w:val="000000"/>
        </w:rPr>
        <w:t>за эмоционального дискомфорта</w:t>
      </w:r>
      <w:proofErr w:type="gramEnd"/>
      <w:r>
        <w:rPr>
          <w:rFonts w:eastAsia="Georgia" w:hAnsi="Georgia" w:cs="Georgia"/>
          <w:color w:val="000000"/>
        </w:rPr>
        <w:t>.</w:t>
      </w:r>
      <w:bookmarkStart w:id="2" w:name="fnref1_2"/>
      <w:bookmarkEnd w:id="2"/>
      <w:r w:rsidR="00DC5B71">
        <w:t xml:space="preserve"> </w:t>
      </w:r>
    </w:p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Согласно объяснительной записке преподавателя, визуальный контакт рассматривался как важный элемент методики курса, при этом из 25 подключенных камерой пользовались лишь 3 человека. Преподаватель признает использование неудачной метафоры и указывает, что намеревалась активизировать группу, но частично признает свою ответственность за срыв занятия. Дополнительно отмечаем, что технический регламент проекта предусматривает наличие камеры как </w:t>
      </w:r>
      <w:r>
        <w:rPr>
          <w:rFonts w:eastAsia="Georgia" w:hAnsi="Georgia" w:cs="Georgia"/>
          <w:b/>
          <w:color w:val="000000"/>
        </w:rPr>
        <w:t>рекомендованное</w:t>
      </w:r>
      <w:r>
        <w:rPr>
          <w:rFonts w:eastAsia="Georgia" w:hAnsi="Georgia" w:cs="Georgia"/>
          <w:color w:val="000000"/>
        </w:rPr>
        <w:t>, но не обязательное условие участия в занятиях.</w:t>
      </w:r>
      <w:bookmarkStart w:id="3" w:name="fnref1_3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Мы признаем, что использованное сравнение (в том числе упоминание «колумбария») могло быть воспринято как оскорбительное и причинить вам душевный дискомфорт. Ваши чувства — обида, напряжение, желание защитить свое достоинство и уважительное отношение к себе — являются понятными и значимыми для организаторов проекта.</w:t>
      </w:r>
      <w:bookmarkStart w:id="4" w:name="fnref1_4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Важно подчеркнуть, что право каждого участника — рассчитывать на корректное, уважительное и тактичное общение в рамках образовательного процесса, независимо от формата занятия и используемых методик. Мы разделяем вашу позицию, что даже при стремлении повысить вовлеченность группы недопустимы формулировки, которые могут быть восприняты как уничижительные или задевающие личные чувства.</w:t>
      </w:r>
      <w:bookmarkStart w:id="5" w:name="fnref1_5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По результатам рассмотрения материалов были приняты следующие решения и меры организационного характера.</w:t>
      </w:r>
      <w:bookmarkStart w:id="6" w:name="fnref1_6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 преподавателем Смирновой И.И. проведена индивидуальная беседа с разбором инцидента, недопустимости резких и потенциально оскорбительных метафор, а также важности учета эмоционального состояния возрастной аудитории.</w:t>
      </w:r>
      <w:bookmarkStart w:id="7" w:name="fnref1_7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Преподавателю указано на необходимость строго соблюдать утвержденный технический регламент проекта, согласно которому использование камеры носит рекомендательный, а не обязательный характер; отсутствие камеры не может служить основанием для прекращения занятия или давления на участников.</w:t>
      </w:r>
      <w:bookmarkStart w:id="8" w:name="fnref1_8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Методическому отделу поручено подготовить для всех преподавателей дополнительные рекомендации по онлайн‑этикету, ведению диалога с группой, работе с возражениями и техническими сложностями слушателей.</w:t>
      </w:r>
      <w:bookmarkStart w:id="9" w:name="fnref1_9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Информация о данном инциденте будет учтена при дальнейшей оценке работы преподавателя, включая анализ обратной связи по завершении курса.</w:t>
      </w:r>
      <w:bookmarkStart w:id="10" w:name="fnref1_10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При этом учитывается, что до настоящего момента жалоб на данного преподавателя не поступало, а курс проведен уже более чем наполовину (14 занятий из 24). Это позволяет расценивать произошедшее как серьезную, но разовую ситуацию, требующую коррекции стиля взаимодействия, а не как устойчивую системную проблему.</w:t>
      </w:r>
      <w:bookmarkStart w:id="11" w:name="fnref1_11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Наша задача — сохранить для вас возможность завершить курс «Счастливая жизнь» в комфортной и безопасной атмосфере, не обесценивая при этом значимость поднятого вами вопроса. В связи с этим:</w:t>
      </w:r>
      <w:bookmarkStart w:id="12" w:name="fnref1_12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Преподавателю доведена необходимость изменить формулировки требований к включению камер, исключив ультимативные высказывания и угрозу прекращения занятий.</w:t>
      </w:r>
      <w:bookmarkStart w:id="13" w:name="fnref1_13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Подчеркивается, что участники вправе не включать видео по техническим, личным или иным уважительным причинам; в таких случаях недопустимо создание давления или чувства вины.</w:t>
      </w:r>
      <w:bookmarkStart w:id="14" w:name="fnref1_14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Вместо жестких требований будет рекомендовано мягкое приглашение к включению камер с пояснением, для чего это важно с точки зрения методики (обратная связь, работа с эмоциями и т.п.), с уважительным отношением к свободе выбора каждого.</w:t>
      </w:r>
      <w:bookmarkStart w:id="15" w:name="fnref1_15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Если кто</w:t>
      </w:r>
      <w:proofErr w:type="gramStart"/>
      <w:r>
        <w:rPr>
          <w:rFonts w:eastAsia="Georgia" w:hAnsi="Georgia" w:cs="Georgia"/>
          <w:color w:val="000000"/>
        </w:rPr>
        <w:t>‑</w:t>
      </w:r>
      <w:proofErr w:type="gramEnd"/>
      <w:r>
        <w:rPr>
          <w:rFonts w:eastAsia="Georgia" w:hAnsi="Georgia" w:cs="Georgia"/>
          <w:color w:val="000000"/>
        </w:rPr>
        <w:t>то из участников по‑прежнему испытывает дискомфорт, вы можете дополнительно сообщить об этом куратору проекта или в службу поддержки «Московского долголетия» для индивидуального обсуждения возможных решений (консультация, изменение формата участия и др.).</w:t>
      </w:r>
      <w:bookmarkStart w:id="16" w:name="fnref1_16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Проект «Московское долголетие» строится на принципах уважения, диалога и партнерства с участниками, и ваше обращение показывает, что вы неравнодушны к качеству образовательной среды. Мы благодарим инициативную группу за активную позицию и подтверждаем готовность </w:t>
      </w:r>
      <w:r>
        <w:rPr>
          <w:rFonts w:eastAsia="Georgia" w:hAnsi="Georgia" w:cs="Georgia"/>
          <w:color w:val="000000"/>
        </w:rPr>
        <w:lastRenderedPageBreak/>
        <w:t>учитывать вашу обратную связь при организации курсов и повышении культуры общения в онлайн‑формате.</w:t>
      </w:r>
      <w:bookmarkStart w:id="17" w:name="fnref1_17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Надеемся, что принятые меры и разъяснения помогут снизить эмоциональное напряжение и продолжить обучение в конструктивной атмосфере. В случае, если у вас останутся вопросы или предложения по улучшению работы курса, вы можете направить их в адрес администрации проекта в удобной для вас форме.</w:t>
      </w:r>
      <w:bookmarkStart w:id="18" w:name="fnref1_18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A60E60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A60E6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0437E"/>
    <w:multiLevelType w:val="hybridMultilevel"/>
    <w:tmpl w:val="0BEA4B4A"/>
    <w:lvl w:ilvl="0" w:tplc="AE4E699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5180BDE">
      <w:numFmt w:val="decimal"/>
      <w:lvlText w:val=""/>
      <w:lvlJc w:val="left"/>
    </w:lvl>
    <w:lvl w:ilvl="2" w:tplc="93F23BEE">
      <w:numFmt w:val="decimal"/>
      <w:lvlText w:val=""/>
      <w:lvlJc w:val="left"/>
    </w:lvl>
    <w:lvl w:ilvl="3" w:tplc="96EEC61C">
      <w:numFmt w:val="decimal"/>
      <w:lvlText w:val=""/>
      <w:lvlJc w:val="left"/>
    </w:lvl>
    <w:lvl w:ilvl="4" w:tplc="D80488F0">
      <w:numFmt w:val="decimal"/>
      <w:lvlText w:val=""/>
      <w:lvlJc w:val="left"/>
    </w:lvl>
    <w:lvl w:ilvl="5" w:tplc="C82238C6">
      <w:numFmt w:val="decimal"/>
      <w:lvlText w:val=""/>
      <w:lvlJc w:val="left"/>
    </w:lvl>
    <w:lvl w:ilvl="6" w:tplc="8DE889D2">
      <w:numFmt w:val="decimal"/>
      <w:lvlText w:val=""/>
      <w:lvlJc w:val="left"/>
    </w:lvl>
    <w:lvl w:ilvl="7" w:tplc="B71AD41A">
      <w:numFmt w:val="decimal"/>
      <w:lvlText w:val=""/>
      <w:lvlJc w:val="left"/>
    </w:lvl>
    <w:lvl w:ilvl="8" w:tplc="817C01B8">
      <w:numFmt w:val="decimal"/>
      <w:lvlText w:val=""/>
      <w:lvlJc w:val="left"/>
    </w:lvl>
  </w:abstractNum>
  <w:abstractNum w:abstractNumId="1" w15:restartNumberingAfterBreak="0">
    <w:nsid w:val="36CA1D77"/>
    <w:multiLevelType w:val="hybridMultilevel"/>
    <w:tmpl w:val="0EE483E0"/>
    <w:lvl w:ilvl="0" w:tplc="AA3C50C2">
      <w:numFmt w:val="decimal"/>
      <w:lvlText w:val=""/>
      <w:lvlJc w:val="left"/>
    </w:lvl>
    <w:lvl w:ilvl="1" w:tplc="7C6CE2F0">
      <w:numFmt w:val="decimal"/>
      <w:lvlText w:val=""/>
      <w:lvlJc w:val="left"/>
    </w:lvl>
    <w:lvl w:ilvl="2" w:tplc="D294235C">
      <w:numFmt w:val="decimal"/>
      <w:lvlText w:val=""/>
      <w:lvlJc w:val="left"/>
    </w:lvl>
    <w:lvl w:ilvl="3" w:tplc="E292C13C">
      <w:numFmt w:val="decimal"/>
      <w:lvlText w:val=""/>
      <w:lvlJc w:val="left"/>
    </w:lvl>
    <w:lvl w:ilvl="4" w:tplc="B74A2BE2">
      <w:numFmt w:val="decimal"/>
      <w:lvlText w:val=""/>
      <w:lvlJc w:val="left"/>
    </w:lvl>
    <w:lvl w:ilvl="5" w:tplc="C4267FFA">
      <w:numFmt w:val="decimal"/>
      <w:lvlText w:val=""/>
      <w:lvlJc w:val="left"/>
    </w:lvl>
    <w:lvl w:ilvl="6" w:tplc="2A486354">
      <w:numFmt w:val="decimal"/>
      <w:lvlText w:val=""/>
      <w:lvlJc w:val="left"/>
    </w:lvl>
    <w:lvl w:ilvl="7" w:tplc="240E7104">
      <w:numFmt w:val="decimal"/>
      <w:lvlText w:val=""/>
      <w:lvlJc w:val="left"/>
    </w:lvl>
    <w:lvl w:ilvl="8" w:tplc="0BC83A52">
      <w:numFmt w:val="decimal"/>
      <w:lvlText w:val=""/>
      <w:lvlJc w:val="left"/>
    </w:lvl>
  </w:abstractNum>
  <w:abstractNum w:abstractNumId="2" w15:restartNumberingAfterBreak="0">
    <w:nsid w:val="3C413D67"/>
    <w:multiLevelType w:val="hybridMultilevel"/>
    <w:tmpl w:val="9B1AAF7C"/>
    <w:lvl w:ilvl="0" w:tplc="B1DCFB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E842D4">
      <w:numFmt w:val="decimal"/>
      <w:lvlText w:val=""/>
      <w:lvlJc w:val="left"/>
    </w:lvl>
    <w:lvl w:ilvl="2" w:tplc="1F2C5CF0">
      <w:numFmt w:val="decimal"/>
      <w:lvlText w:val=""/>
      <w:lvlJc w:val="left"/>
    </w:lvl>
    <w:lvl w:ilvl="3" w:tplc="E5E64DF6">
      <w:numFmt w:val="decimal"/>
      <w:lvlText w:val=""/>
      <w:lvlJc w:val="left"/>
    </w:lvl>
    <w:lvl w:ilvl="4" w:tplc="4F82A584">
      <w:numFmt w:val="decimal"/>
      <w:lvlText w:val=""/>
      <w:lvlJc w:val="left"/>
    </w:lvl>
    <w:lvl w:ilvl="5" w:tplc="329CE824">
      <w:numFmt w:val="decimal"/>
      <w:lvlText w:val=""/>
      <w:lvlJc w:val="left"/>
    </w:lvl>
    <w:lvl w:ilvl="6" w:tplc="46941BA0">
      <w:numFmt w:val="decimal"/>
      <w:lvlText w:val=""/>
      <w:lvlJc w:val="left"/>
    </w:lvl>
    <w:lvl w:ilvl="7" w:tplc="0816A6D4">
      <w:numFmt w:val="decimal"/>
      <w:lvlText w:val=""/>
      <w:lvlJc w:val="left"/>
    </w:lvl>
    <w:lvl w:ilvl="8" w:tplc="9CF4C64E">
      <w:numFmt w:val="decimal"/>
      <w:lvlText w:val=""/>
      <w:lvlJc w:val="left"/>
    </w:lvl>
  </w:abstractNum>
  <w:abstractNum w:abstractNumId="3" w15:restartNumberingAfterBreak="0">
    <w:nsid w:val="5B6F090F"/>
    <w:multiLevelType w:val="hybridMultilevel"/>
    <w:tmpl w:val="650AC07A"/>
    <w:lvl w:ilvl="0" w:tplc="92A40A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C54D60C">
      <w:numFmt w:val="decimal"/>
      <w:lvlText w:val=""/>
      <w:lvlJc w:val="left"/>
    </w:lvl>
    <w:lvl w:ilvl="2" w:tplc="3F9466A0">
      <w:numFmt w:val="decimal"/>
      <w:lvlText w:val=""/>
      <w:lvlJc w:val="left"/>
    </w:lvl>
    <w:lvl w:ilvl="3" w:tplc="7624D402">
      <w:numFmt w:val="decimal"/>
      <w:lvlText w:val=""/>
      <w:lvlJc w:val="left"/>
    </w:lvl>
    <w:lvl w:ilvl="4" w:tplc="E66A3002">
      <w:numFmt w:val="decimal"/>
      <w:lvlText w:val=""/>
      <w:lvlJc w:val="left"/>
    </w:lvl>
    <w:lvl w:ilvl="5" w:tplc="0D3E5B52">
      <w:numFmt w:val="decimal"/>
      <w:lvlText w:val=""/>
      <w:lvlJc w:val="left"/>
    </w:lvl>
    <w:lvl w:ilvl="6" w:tplc="EFE60DA4">
      <w:numFmt w:val="decimal"/>
      <w:lvlText w:val=""/>
      <w:lvlJc w:val="left"/>
    </w:lvl>
    <w:lvl w:ilvl="7" w:tplc="A99C3930">
      <w:numFmt w:val="decimal"/>
      <w:lvlText w:val=""/>
      <w:lvlJc w:val="left"/>
    </w:lvl>
    <w:lvl w:ilvl="8" w:tplc="70AA9CF0">
      <w:numFmt w:val="decimal"/>
      <w:lvlText w:val=""/>
      <w:lvlJc w:val="left"/>
    </w:lvl>
  </w:abstractNum>
  <w:num w:numId="1" w16cid:durableId="1738816571">
    <w:abstractNumId w:val="0"/>
  </w:num>
  <w:num w:numId="2" w16cid:durableId="513885041">
    <w:abstractNumId w:val="2"/>
  </w:num>
  <w:num w:numId="3" w16cid:durableId="840586101">
    <w:abstractNumId w:val="1"/>
  </w:num>
  <w:num w:numId="4" w16cid:durableId="115954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E60"/>
    <w:rsid w:val="00A60E60"/>
    <w:rsid w:val="00DC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47669"/>
  <w15:docId w15:val="{A72E1AD3-1C54-B84A-9587-B3E15249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Артем Шалыгин</cp:lastModifiedBy>
  <cp:revision>2</cp:revision>
  <dcterms:created xsi:type="dcterms:W3CDTF">2026-03-19T09:20:00Z</dcterms:created>
  <dcterms:modified xsi:type="dcterms:W3CDTF">2026-03-19T09:20:00Z</dcterms:modified>
</cp:coreProperties>
</file>