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georgia" w:cs="georgia" w:ascii="georgia" w:hAnsi="georgia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81d3e862751ca1f7aecc34b5691c9a72805c8f4d.png"/>
            <a:graphic>
              <a:graphicData uri="http://schemas.openxmlformats.org/drawingml/2006/picture">
                <pic:pic>
                  <pic:nvPicPr>
                    <pic:cNvPr id="1" name="image-81d3e862751ca1f7aecc34b5691c9a72805c8f4d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before="315" w:after="105" w:lineRule="auto"/>
        <w:ind w:left="-30"/>
        <w:jc w:val="left"/>
      </w:pPr>
      <w:bookmarkStart w:id="0" w:name="план_работы_наставника"/>
      <w:r>
        <w:rPr>
          <w:rFonts w:eastAsia="georgia" w:cs="georgia" w:ascii="georgia" w:hAnsi="georgia"/>
          <w:b/>
          <w:color w:val="000000"/>
          <w:sz w:val="24"/>
        </w:rPr>
        <w:t xml:space="preserve">План работы наставника</w:t>
      </w:r>
      <w:bookmarkEnd w:id="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План разработан для повышения эффективности наставничества, с четкими KPI, которые мотивируют наставника к самостоятельной работе и ориентированы на результат. Достижение показателей напрямую влияет на премию (до 30% от оклада при выполнении 90% плана) и карьеру (рекомендация на повышение для топ-10% наставников).</w:t>
      </w:r>
      <w:bookmarkStart w:id="1" w:name="fnref1"/>
      <w:bookmarkEnd w:id="1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  <w:bookmarkStart w:id="2" w:name="fnref2"/>
      <w:bookmarkEnd w:id="2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902"/>
        <w:gridCol w:w="1902"/>
        <w:gridCol w:w="1902"/>
        <w:gridCol w:w="1902"/>
        <w:gridCol w:w="190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Этап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Действия наставника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KPI (цель на 3 месяца)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Метод измерения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Влияние на премию/карьеру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Подготовка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Ознакомить подопечного с корпоративными стандартами, провести диагностику навыков.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100% подопечных прошли диагностику в 1 неделю; 90% освоили стандарты.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Отчеты в HR-системе, тест на знания.</w:t>
            </w:r>
            <w:hyperlink w:anchor="fn1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Базовая премия 10%; невыполнение — минус 5% от годовой.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Еженедельные встречи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Проводить 4 встречи/мес., давать обратную связь, корректировать план развития.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Уровень удовлетворенности подопечных ≥ 4.5/5; 80% встреч по графику.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Опросы подопечных, журнал встреч.</w:t>
            </w:r>
            <w:hyperlink w:anchor="fn2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[2]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+10% премии за 90% выполнения; топ-оценки — рекомендация на лидера команды.</w:t>
            </w:r>
            <w:hyperlink w:anchor="fn3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[3]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Развитие навыков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Обучить ключевым навыкам (продуктивность, клиенты), мониторить прогресс.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Снижение времени адаптации на 30%; рост производительности подопечного на 25%.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Сравнение до/после (время на задачи, ошибки).</w:t>
            </w:r>
            <w:hyperlink w:anchor="fn2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[2]</w:t>
              </w:r>
            </w:hyperlink>
            <w:hyperlink w:anchor="fn1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+15% премии; успех с 3+ подопечными — ускоренное продвижение.</w:t>
            </w:r>
            <w:hyperlink w:anchor="fn4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[4]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Итоговая оценка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Подвести итоги, собрать отзывы, предложить план роста.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Текучесть подопечных &lt;10%; 85% прошли испытательный срок успешно.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HR-метрики (текучесть, отзывы руководителя).</w:t>
            </w:r>
            <w:hyperlink w:anchor="fn3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[3]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Полная премия 30%; отличные результаты — приоритет на вакансии руководителя.</w:t>
            </w:r>
            <w:hyperlink w:anchor="fn5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[5]</w:t>
              </w:r>
            </w:hyperlink>
          </w:p>
        </w:tc>
      </w:tr>
    </w:tbl>
    <w:p>
      <w:pPr>
        <w:spacing w:lineRule="auto"/>
      </w:pPr>
    </w:p>
    <w:p>
      <w:pPr>
        <w:spacing w:line="360" w:lineRule="auto"/>
      </w:pPr>
      <w:r>
        <w:rPr>
          <w:rFonts w:eastAsia="georgia" w:cs="georgia" w:ascii="georgia" w:hAnsi="georgia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3" w:name="fn1"/>
    <w:bookmarkEnd w:id="3"/>
    <w:p>
      <w:pPr>
        <w:numPr>
          <w:ilvl w:val="0"/>
          <w:numId w:val="2"/>
        </w:numPr>
        <w:spacing w:line="360" w:after="210" w:lineRule="auto"/>
      </w:pPr>
      <w:hyperlink r:id="rId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https://science-education.ru/article/view?id=15444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" w:name="fn2"/>
    <w:bookmarkEnd w:id="4"/>
    <w:p>
      <w:pPr>
        <w:numPr>
          <w:ilvl w:val="0"/>
          <w:numId w:val="2"/>
        </w:numPr>
        <w:spacing w:line="360" w:after="210" w:lineRule="auto"/>
      </w:pPr>
      <w:hyperlink r:id="rId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https://training-partner.ru/staty/metriki-i-kpi-dlya-ocenki-effektivnosti-nastavnikov.html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5" w:name="fn3"/>
    <w:bookmarkEnd w:id="5"/>
    <w:p>
      <w:pPr>
        <w:numPr>
          <w:ilvl w:val="0"/>
          <w:numId w:val="2"/>
        </w:numPr>
        <w:spacing w:line="360" w:after="210" w:lineRule="auto"/>
      </w:pPr>
      <w:hyperlink r:id="rId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https://blog.talentrocks.ru/kpi-i-mietriki-dlia-hr/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6" w:name="fn4"/>
    <w:bookmarkEnd w:id="6"/>
    <w:p>
      <w:pPr>
        <w:numPr>
          <w:ilvl w:val="0"/>
          <w:numId w:val="2"/>
        </w:numPr>
        <w:spacing w:line="360" w:after="210" w:lineRule="auto"/>
      </w:pPr>
      <w:hyperlink r:id="rId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https://pritula.academy/tpost/pcgnpyst71-kpi-i-metriki-obucheniya-i-razvitiya-dly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7" w:name="fn5"/>
    <w:bookmarkEnd w:id="7"/>
    <w:p>
      <w:pPr>
        <w:numPr>
          <w:ilvl w:val="0"/>
          <w:numId w:val="2"/>
        </w:numPr>
        <w:spacing w:line="360" w:after="210" w:lineRule="auto"/>
      </w:pPr>
      <w:hyperlink r:id="rId1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https://h-art.com.ua/ru/stati/premirovanie-sotrudnikov-kpi/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8" w:name="fn6"/>
    <w:bookmarkEnd w:id="8"/>
    <w:p>
      <w:pPr>
        <w:numPr>
          <w:ilvl w:val="0"/>
          <w:numId w:val="2"/>
        </w:numPr>
        <w:spacing w:line="360" w:after="210" w:lineRule="auto"/>
      </w:pPr>
      <w:hyperlink r:id="rId1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https://hurma.work/ru/blog/chto-takoe-kpi-dlya-hr-menedzhera/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9" w:name="fn7"/>
    <w:bookmarkEnd w:id="9"/>
    <w:p>
      <w:pPr>
        <w:numPr>
          <w:ilvl w:val="0"/>
          <w:numId w:val="2"/>
        </w:numPr>
        <w:spacing w:line="360" w:after="210" w:lineRule="auto"/>
      </w:pPr>
      <w:hyperlink r:id="rId1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https://visions.gatewaypn.com/using-your-staff-kpis-to-build-mentorship-programs-that-work/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0" w:name="fn8"/>
    <w:bookmarkEnd w:id="10"/>
    <w:p>
      <w:pPr>
        <w:numPr>
          <w:ilvl w:val="0"/>
          <w:numId w:val="2"/>
        </w:numPr>
        <w:spacing w:line="360" w:after="210" w:lineRule="auto"/>
      </w:pPr>
      <w:hyperlink r:id="rId1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https://k-team.ru/blog/rukovodstvo-po-celyam-i-kpi-dlya-hr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1" w:name="fn9"/>
    <w:bookmarkEnd w:id="11"/>
    <w:p>
      <w:pPr>
        <w:numPr>
          <w:ilvl w:val="0"/>
          <w:numId w:val="2"/>
        </w:numPr>
        <w:spacing w:line="360" w:after="210" w:lineRule="auto"/>
      </w:pPr>
      <w:hyperlink r:id="rId1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https://cpdonline.co.uk/knowledge-base/business/employee-development/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2" w:name="fn10"/>
    <w:bookmarkEnd w:id="12"/>
    <w:p>
      <w:pPr>
        <w:numPr>
          <w:ilvl w:val="0"/>
          <w:numId w:val="2"/>
        </w:numPr>
        <w:spacing w:line="360" w:after="210" w:lineRule="auto"/>
      </w:pPr>
      <w:hyperlink r:id="rId1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https://www.youtube.com/watch?v=ebjJRrmuTdo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helvetica neue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ru-RU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81d3e862751ca1f7aecc34b5691c9a72805c8f4d.png" TargetMode="Internal"/><Relationship Id="rId6" Type="http://schemas.openxmlformats.org/officeDocument/2006/relationships/hyperlink" Target="https://science-education.ru/article/view?id=15444" TargetMode="External"/><Relationship Id="rId7" Type="http://schemas.openxmlformats.org/officeDocument/2006/relationships/hyperlink" Target="https://training-partner.ru/staty/metriki-i-kpi-dlya-ocenki-effektivnosti-nastavnikov.html" TargetMode="External"/><Relationship Id="rId8" Type="http://schemas.openxmlformats.org/officeDocument/2006/relationships/hyperlink" Target="https://blog.talentrocks.ru/kpi-i-mietriki-dlia-hr/" TargetMode="External"/><Relationship Id="rId9" Type="http://schemas.openxmlformats.org/officeDocument/2006/relationships/hyperlink" Target="https://pritula.academy/tpost/pcgnpyst71-kpi-i-metriki-obucheniya-i-razvitiya-dly" TargetMode="External"/><Relationship Id="rId10" Type="http://schemas.openxmlformats.org/officeDocument/2006/relationships/hyperlink" Target="https://h-art.com.ua/ru/stati/premirovanie-sotrudnikov-kpi/" TargetMode="External"/><Relationship Id="rId11" Type="http://schemas.openxmlformats.org/officeDocument/2006/relationships/hyperlink" Target="https://hurma.work/ru/blog/chto-takoe-kpi-dlya-hr-menedzhera/" TargetMode="External"/><Relationship Id="rId12" Type="http://schemas.openxmlformats.org/officeDocument/2006/relationships/hyperlink" Target="https://visions.gatewaypn.com/using-your-staff-kpis-to-build-mentorship-programs-that-work/" TargetMode="External"/><Relationship Id="rId13" Type="http://schemas.openxmlformats.org/officeDocument/2006/relationships/hyperlink" Target="https://k-team.ru/blog/rukovodstvo-po-celyam-i-kpi-dlya-hr" TargetMode="External"/><Relationship Id="rId14" Type="http://schemas.openxmlformats.org/officeDocument/2006/relationships/hyperlink" Target="https://cpdonline.co.uk/knowledge-base/business/employee-development/" TargetMode="External"/><Relationship Id="rId15" Type="http://schemas.openxmlformats.org/officeDocument/2006/relationships/hyperlink" Target="https://www.youtube.com/watch?v=ebjJRrmuTdo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2026-04-03T14:49:34.148Z</dcterms:created>
  <dcterms:modified xsi:type="dcterms:W3CDTF">2026-04-03T14:49:34.148Z</dcterms:modified>
</cp:coreProperties>
</file>