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363f20b1c89c7e0ca1bd1a3629550d5cd2daba6.png"/>
            <a:graphic>
              <a:graphicData uri="http://schemas.openxmlformats.org/drawingml/2006/picture">
                <pic:pic>
                  <pic:nvPicPr>
                    <pic:cNvPr id="1" name="image-3363f20b1c89c7e0ca1bd1a3629550d5cd2daba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представь_что_ты_специалист_по_об_9f285f"/>
      <w:r>
        <w:rPr>
          <w:rFonts w:eastAsia="georgia" w:cs="georgia" w:ascii="georgia" w:hAnsi="georgia"/>
          <w:b/>
          <w:color w:val="000000"/>
          <w:sz w:val="39"/>
        </w:rPr>
        <w:t xml:space="preserve">Представь, что ты Специалист по обращениям граждан в гос.структуре, психолог. Твоя миссия — составить официальный ответ на жалобу участников группы. Ты создаешь контент для следующей аудитории: участники группы "счастливая жизнь". При работе ты должен учитывать такие ограничения: аргументрированный ответ, не обесценивая чувства участников группы, которые написали жалобу. Готовый результат должен соответствовать следующим критериям: аргументрированный ответ с обозначением принятых мер в отношении преподователя, на которого пришла жалоба. Этот материал будет использоваться в следующем контексте: в официальном ответе на основании приложенного документа( объяснительная преподователя). Финальное оформление должно быть таким: итоговый документ с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результатом (который вы сохранили в word) или же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подходящий формат( mp3, jpeg).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Уважаемые участники группы №12‑СЖ курса «Счастливая жизнь»!</w:t>
      </w:r>
    </w:p>
    <w:p>
      <w:pPr>
        <w:spacing w:line="360" w:before="315" w:after="105" w:lineRule="auto"/>
        <w:ind w:left="-30"/>
        <w:jc w:val="left"/>
      </w:pPr>
      <w:bookmarkStart w:id="1" w:name="по_существу_обращения"/>
      <w:r>
        <w:rPr>
          <w:rFonts w:eastAsia="georgia" w:cs="georgia" w:ascii="georgia" w:hAnsi="georgia"/>
          <w:b/>
          <w:color w:val="000000"/>
          <w:sz w:val="24"/>
        </w:rPr>
        <w:t xml:space="preserve">По существу обращения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Руководство проекта «Московское долголетие» рассмотрело коллективную жалобу 15 участников группы №12‑СЖ в отношении преподавателя Смирновой Ирины Игоревны, а также объяснительную записку преподавателя и материалы по организации учебного процесса.</w:t>
      </w:r>
      <w:bookmarkStart w:id="2" w:name="fnref1"/>
      <w:bookmarkEnd w:id="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Факт использования выражения, содержащего сравнение «черных квадратов» с «колумбарием», во время онлайн‑занятия подтверждается в объяснительной преподавателя. Отмечено также, что после высказывания и последовавшего требования включить камеры часть слушателей испытала выраженный эмоциональный дискомфорт и покинула занятие.</w:t>
      </w:r>
      <w:bookmarkStart w:id="3" w:name="fnref1_1"/>
      <w:bookmarkEnd w:id="3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4" w:name="отношение_к_чувствам_участников"/>
      <w:r>
        <w:rPr>
          <w:rFonts w:eastAsia="georgia" w:cs="georgia" w:ascii="georgia" w:hAnsi="georgia"/>
          <w:b/>
          <w:color w:val="000000"/>
          <w:sz w:val="24"/>
        </w:rPr>
        <w:t xml:space="preserve">Отношение к чувствам участников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Обращение участников расценивается как проявление небезразличного отношения к качеству и психологической безопасности образовательного процесса, что высоко ценится в проекте. Чувства обиды, неловкости и неприемлемости сравнения, о которых вы сообщаете, признаются обоснованными и не подлежат обесцениванию.</w:t>
      </w:r>
      <w:bookmarkStart w:id="5" w:name="fnref1_2"/>
      <w:bookmarkEnd w:id="5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Использованная метафора, даже при отсутствии намерения оскорбить, является неэтичной по отношению к участникам старшего возраста и не соответствует стандартам уважительного общения в соцсфере и образовательных программах проекта. Недопустимо, чтобы ради педагогических целей применялись выражения, которые могут восприниматься как унижающие достоинство или усиливающие эмоциональное напряжение в группе.</w:t>
      </w:r>
      <w:bookmarkStart w:id="6" w:name="fnref1_3"/>
      <w:bookmarkEnd w:id="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7" w:name="оценка_действий_преподавателя"/>
      <w:r>
        <w:rPr>
          <w:rFonts w:eastAsia="georgia" w:cs="georgia" w:ascii="georgia" w:hAnsi="georgia"/>
          <w:b/>
          <w:color w:val="000000"/>
          <w:sz w:val="24"/>
        </w:rPr>
        <w:t xml:space="preserve">Оценка действий преподавателя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Смирнова И.И. в объяснительной указывает, что визуальный контакт важен для калибровки состояния группы и что требование включить камеры продиктовано методикой тренинга, при этом свою вину в срыве занятия она признает частично. Вместе с тем технический регламент курса прямо фиксирует, что наличие камеры «рекомендовано, но не обязательно», что означает недопустимость жесткого требования обязательного включения камер для всех участников и увязывания продолжения занятия с этим условием.</w:t>
      </w:r>
      <w:bookmarkStart w:id="8" w:name="fnref1_4"/>
      <w:bookmarkEnd w:id="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Таким образом, руководство констатирует: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нарушение принципа добровольности соблюдения рекомендательного технического регламента (режим камеры);</w:t>
      </w:r>
      <w:bookmarkStart w:id="9" w:name="fnref1_5"/>
      <w:bookmarkEnd w:id="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использование некорректного высказывания, затрагивающего чувства участников и создающего атмосферу психологического неблагополучия на занятии.</w:t>
      </w:r>
      <w:bookmarkStart w:id="10" w:name="fnref1_6"/>
      <w:bookmarkEnd w:id="1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При этом учитываются и смягчающие обстоятельства: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отсутствие ранее зарегистрированных жалоб на преподавателя;</w:t>
      </w:r>
      <w:bookmarkStart w:id="11" w:name="fnref1_7"/>
      <w:bookmarkEnd w:id="1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признание преподавателем своей частичной ответственности и ориентация на образовательные интересы группы, пусть и реализованная неадекватным способом.</w:t>
      </w:r>
      <w:bookmarkStart w:id="12" w:name="fnref1_8"/>
      <w:bookmarkEnd w:id="1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принятые_меры_в_отношении_преподавателя"/>
      <w:r>
        <w:rPr>
          <w:rFonts w:eastAsia="georgia" w:cs="georgia" w:ascii="georgia" w:hAnsi="georgia"/>
          <w:b/>
          <w:color w:val="000000"/>
          <w:sz w:val="24"/>
        </w:rPr>
        <w:t xml:space="preserve">Принятые меры в отношении преподавателя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результатам рассмотрения обращения и с учетом принципов восстановительного подхода и профилактики повторных инцидентов, в отношении преподавателя Смирновой И.И. приняты следующие меры:</w:t>
      </w:r>
      <w:bookmarkStart w:id="14" w:name="fnref1_9"/>
      <w:bookmarkEnd w:id="1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Официальное предупреждение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Преподавателю объявлено письменное предупреждение о недопустимости использования оскорбительных или потенциально травмирующих метафор и высказываний в адрес участников, независимо от педагогических целей и контекста. Повторение подобных эпизодов будет рассматриваться как основание для более строгих дисциплинарных последствий, вплоть до прекращения сотрудничества в проекте.</w:t>
      </w:r>
      <w:bookmarkStart w:id="15" w:name="fnref1_10"/>
      <w:bookmarkEnd w:id="15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Обязательная корректировка стиля проведения занятий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Преподавателю предписано: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отказаться от угроз прекращения занятия как способа влияния на группу;</w:t>
      </w:r>
      <w:bookmarkStart w:id="16" w:name="fnref1_11"/>
      <w:bookmarkEnd w:id="16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четко разграничивать «рекомендации» и «обязательные» требования, особенно в вопросах, касающихся технических возможностей и личного комфорта участников (включение камеры, микрофона и т.п.);</w:t>
      </w:r>
      <w:bookmarkStart w:id="17" w:name="fnref1_12"/>
      <w:bookmarkEnd w:id="17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выстраивать мотивацию к активному участию через поддерживающую, а не критикующую коммуникацию.</w:t>
      </w:r>
      <w:bookmarkStart w:id="18" w:name="fnref1_13"/>
      <w:bookmarkEnd w:id="18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Психолого‑педагогическая супервизия и повышение квалификации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Преподаватель будет направлен: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внутреннюю консультацию (супервизию) по вопросам этики коммуникации с группами старшего возраста и профилактики эмоционального выгорания педагога;</w:t>
      </w:r>
      <w:bookmarkStart w:id="19" w:name="fnref1_14"/>
      <w:bookmarkEnd w:id="19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 дополнительный обучающий модуль по ненасильственной коммуникации и ведению онлайн‑форматов с учетом ограничений по технике и интернет‑соединению участников.</w:t>
      </w:r>
      <w:bookmarkStart w:id="20" w:name="fnref1_15"/>
      <w:bookmarkEnd w:id="20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Коррекция правил взаимодействия на курсе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Для всех групп курса «Счастливая жизнь» будут: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 явном виде проговорены и направлены участникам обновленные рекомендации: включение камеры остается </w:t>
      </w:r>
      <w:r>
        <w:rPr>
          <w:rFonts w:eastAsia="georgia" w:cs="georgia" w:ascii="georgia" w:hAnsi="georgia"/>
          <w:b/>
          <w:color w:val="000000"/>
          <w:sz w:val="21"/>
        </w:rPr>
        <w:t xml:space="preserve">добровольным</w:t>
      </w:r>
      <w:r>
        <w:rPr>
          <w:rFonts w:eastAsia="georgia" w:cs="georgia" w:ascii="georgia" w:hAnsi="georgia"/>
          <w:color w:val="000000"/>
          <w:sz w:val="21"/>
        </w:rPr>
        <w:t xml:space="preserve">, хотя и желательным для повышения эффективности работы, при этом учет технических и личных обстоятельств обязательен;</w:t>
      </w:r>
      <w:bookmarkStart w:id="21" w:name="fnref1_16"/>
      <w:bookmarkEnd w:id="21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зафиксированы альтернативные формы участия: использование только аудио, чат, письменные задания, что позволит сохранять вовлеченность без давления на участников.</w:t>
      </w:r>
      <w:bookmarkStart w:id="22" w:name="fnref1_17"/>
      <w:bookmarkEnd w:id="22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0"/>
          <w:numId w:val="3"/>
        </w:numPr>
        <w:spacing w:line="360" w:after="210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Мониторинг ситуации в группе №12‑СЖ</w:t>
      </w:r>
      <w:r>
        <w:rPr>
          <w:rFonts w:eastAsia="georgia" w:cs="georgia" w:ascii="georgia" w:hAnsi="georgia"/>
          <w:color w:val="000000"/>
          <w:sz w:val="21"/>
        </w:rPr>
        <w:br w:type="textWrapping"/>
      </w:r>
      <w:r>
        <w:rPr>
          <w:rFonts w:eastAsia="georgia" w:cs="georgia" w:ascii="georgia" w:hAnsi="georgia"/>
          <w:color w:val="000000"/>
          <w:sz w:val="21"/>
        </w:rPr>
        <w:t xml:space="preserve">В ближайшее время представители администрации проекта:</w:t>
      </w:r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проведут дополнительную обратную связь с участниками группы (в том числе в анонимном формате) для оценки текущего эмоционального состояния и доверия к курсу;</w:t>
      </w:r>
      <w:bookmarkStart w:id="23" w:name="fnref1_18"/>
      <w:bookmarkEnd w:id="23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numPr>
          <w:ilvl w:val="1"/>
          <w:numId w:val="3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предложат замену преподавателя или совместное занятие с участием куратора/методиста, чтобы восстановить чувство безопасности и уважения.</w:t>
      </w:r>
      <w:bookmarkStart w:id="24" w:name="fnref1_19"/>
      <w:bookmarkEnd w:id="24"/>
      <w:hyperlink w:anchor="fn1">
        <w:r>
          <w:rPr>
            <w:rFonts w:eastAsia="helvetica neue" w:cs="helvetica neue" w:ascii="helvetica neue" w:hAnsi="helvetica neue"/>
            <w:color w:val="#000"/>
            <w:sz w:val="21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5" w:name="обеспечение_психологической_безоп_5d4f2b"/>
      <w:r>
        <w:rPr>
          <w:rFonts w:eastAsia="georgia" w:cs="georgia" w:ascii="georgia" w:hAnsi="georgia"/>
          <w:b/>
          <w:color w:val="000000"/>
          <w:sz w:val="24"/>
        </w:rPr>
        <w:t xml:space="preserve">Обеспечение психологической безопасности участников</w:t>
      </w:r>
      <w:bookmarkEnd w:id="2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Проект «Московское долголетие» исходит из приоритета психологического комфорта, уважения к личным границам и жизненному опыту каждого участника. Недопустимо, чтобы обучающий процесс становился источником дополнительной травматизации или чувства унижения.</w:t>
      </w:r>
      <w:bookmarkStart w:id="26" w:name="fnref1_20"/>
      <w:bookmarkEnd w:id="2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отдельные участники группы после произошедшего продолжают испытывать выраженный эмоциональный дискомфорт, им будет предложена возможность индивидуальной консультации с психологом проекта в формате онлайн или очно (при наличии такой опции в округе). О способах записи на консультацию и формате дальнейшей обратной связи будет дополнительно сообщено старосте группы.</w:t>
      </w:r>
      <w:bookmarkStart w:id="27" w:name="fnref1_21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Настоящий ответ может быть использован как официальный документ для информирования всех участников группы №12‑СЖ о результатах рассмотрения коллективной жалобы и принятых мерах.</w:t>
      </w:r>
      <w:bookmarkStart w:id="28" w:name="fnref1_22"/>
      <w:bookmarkEnd w:id="2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9" w:name="fn1"/>
    <w:bookmarkEnd w:id="29"/>
    <w:p>
      <w:pPr>
        <w:numPr>
          <w:ilvl w:val="0"/>
          <w:numId w:val="5"/>
        </w:numPr>
        <w:spacing w:line="360" w:after="210" w:lineRule="auto"/>
      </w:pPr>
      <w:r>
        <w:rPr>
          <w:rFonts w:eastAsia="georgia" w:cs="georgia" w:ascii="georgia" w:hAnsi="georgia"/>
          <w:color w:val="000000"/>
          <w:sz w:val="18"/>
        </w:rPr>
        <w:t xml:space="preserve">8011.pdf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363f20b1c89c7e0ca1bd1a3629550d5cd2daba6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2026-04-03T11:53:35.774Z</dcterms:created>
  <dcterms:modified xsi:type="dcterms:W3CDTF">2026-04-03T11:53:35.774Z</dcterms:modified>
</cp:coreProperties>
</file>