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georgia" w:cs="georgia" w:ascii="georgia" w:hAnsi="georgia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4780963230932e0c02e87f77b82ef7459cc64975.png"/>
            <a:graphic>
              <a:graphicData uri="http://schemas.openxmlformats.org/drawingml/2006/picture">
                <pic:pic>
                  <pic:nvPicPr>
                    <pic:cNvPr id="1" name="image-4780963230932e0c02e87f77b82ef7459cc64975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bookmarkStart w:id="0" w:name="представь_что_ты_руководитель_инж_75c02c"/>
      <w:r>
        <w:rPr>
          <w:rFonts w:eastAsia="georgia" w:cs="georgia" w:ascii="georgia" w:hAnsi="georgia"/>
          <w:b/>
          <w:color w:val="000000"/>
          <w:sz w:val="39"/>
        </w:rPr>
        <w:t xml:space="preserve">Представь, что ты руководитель инженерной службы. Твоя миссия — сделать матрицу, перед этим проанализировать возможности инженерных систем центров долголетия, формирование матрицы "затраты на внедрение - эффект (экономия ресурсов/повышение комфорта) с приоритезацией топ 3 системы (оповещение, климат-контроль, система доступа) для первичной автоматизации. Ты создаешь контент для следующей аудитории: для предложения руководителю. При работе ты должен учитывать такие ограничения: нужно определить реальную экономию и дать предложение. Готовый результат должен соответствовать следующим критериям: экономия ресурсов, повышение комфорта. Этот материал будет использоваться в следующем контексте: в работе при расчете бюджета.</w:t>
      </w:r>
      <w:bookmarkEnd w:id="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Предлагаю внедрять автоматизацию поэтапно, с фокусом на климат‑контроль, затем систему оповещения и систему доступа, используя единую BMS/«умное здание» платформу и матрицу «затраты–эффект» для обоснования бюджета.</w:t>
      </w:r>
      <w:bookmarkStart w:id="1" w:name="fnref1"/>
      <w:bookmarkEnd w:id="1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  <w:bookmarkStart w:id="2" w:name="fnref2"/>
      <w:bookmarkEnd w:id="2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bookmarkStart w:id="3" w:name="fnref3"/>
      <w:bookmarkEnd w:id="3"/>
      <w:hyperlink w:anchor="fn3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[3]</w:t>
        </w:r>
      </w:hyperlink>
    </w:p>
    <w:p>
      <w:pPr>
        <w:spacing w:line="360" w:before="315" w:after="105" w:lineRule="auto"/>
        <w:ind w:left="-30"/>
        <w:jc w:val="left"/>
      </w:pPr>
      <w:bookmarkStart w:id="4" w:name="bm_1_исходные_допущения"/>
      <w:r>
        <w:rPr>
          <w:rFonts w:eastAsia="georgia" w:cs="georgia" w:ascii="georgia" w:hAnsi="georgia"/>
          <w:b/>
          <w:color w:val="000000"/>
          <w:sz w:val="24"/>
        </w:rPr>
        <w:t xml:space="preserve">1. Исходные допущения</w:t>
      </w:r>
      <w:bookmarkEnd w:id="4"/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Объект: центр долголетия площадью 140 м², режим работы 08:00–21:00, 7 дней в неделю.</w:t>
      </w:r>
      <w:bookmarkStart w:id="5" w:name="fnref4"/>
      <w:bookmarkEnd w:id="5"/>
      <w:hyperlink w:anchor="fn4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[4]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Главные критерии:</w:t>
      </w:r>
    </w:p>
    <w:p>
      <w:pPr>
        <w:numPr>
          <w:ilvl w:val="1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экономия ресурсов (электроэнергия, тепло);</w:t>
      </w:r>
    </w:p>
    <w:p>
      <w:pPr>
        <w:numPr>
          <w:ilvl w:val="1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повышение комфорта (температура, воздух, безопасность, удобство).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Предполагается, что инженерные системы уже есть (отопление, вентиляция/кондиционирование, освещение, СКУД/домофон, пожарное оповещение), но управляются в основном вручную, без централизованной BMS.</w:t>
      </w:r>
    </w:p>
    <w:p>
      <w:pPr>
        <w:spacing w:line="360" w:before="315" w:after="105" w:lineRule="auto"/>
        <w:ind w:left="-30"/>
        <w:jc w:val="left"/>
      </w:pPr>
      <w:bookmarkStart w:id="6" w:name="bm_2_оценка_потенциала_по_системам"/>
      <w:r>
        <w:rPr>
          <w:rFonts w:eastAsia="georgia" w:cs="georgia" w:ascii="georgia" w:hAnsi="georgia"/>
          <w:b/>
          <w:color w:val="000000"/>
          <w:sz w:val="24"/>
        </w:rPr>
        <w:t xml:space="preserve">2. Оценка потенциала по системам</w:t>
      </w:r>
      <w:bookmarkEnd w:id="6"/>
    </w:p>
    <w:p>
      <w:pPr>
        <w:spacing w:line="360" w:before="315" w:after="105" w:lineRule="auto"/>
        <w:ind w:left="-30"/>
        <w:jc w:val="left"/>
      </w:pPr>
      <w:bookmarkStart w:id="7" w:name="климат_контроль_отопление_вентиля_77deb9"/>
      <w:r>
        <w:rPr>
          <w:rFonts w:eastAsia="georgia" w:cs="georgia" w:ascii="georgia" w:hAnsi="georgia"/>
          <w:b/>
          <w:color w:val="000000"/>
          <w:sz w:val="24"/>
        </w:rPr>
        <w:t xml:space="preserve">Климат‑контроль (отопление, вентиляция, кондиционирование)</w:t>
      </w:r>
      <w:bookmarkEnd w:id="7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Классические исследования и практика автоматизации показывают, что перевод систем отопления и холода с базового уровня управления (класс C) до продвинутого (класс A) дает до 30% экономии тепловой энергии и до 13% электрической.</w:t>
      </w:r>
      <w:bookmarkStart w:id="8" w:name="fnref3_1"/>
      <w:bookmarkEnd w:id="8"/>
      <w:hyperlink w:anchor="fn3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[3]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Комплексная автоматизация климата (датчики присутствия, графики, погодозависимое регулирование) в общественных зданиях обычно дает 20–30% экономии по климату при сроке окупаемости около 2–3 лет.</w:t>
      </w:r>
      <w:bookmarkStart w:id="9" w:name="fnref2_1"/>
      <w:bookmarkEnd w:id="9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bookmarkStart w:id="10" w:name="fnref3_2"/>
      <w:bookmarkEnd w:id="10"/>
      <w:hyperlink w:anchor="fn3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[3]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Ключевые эффекты: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снижение перегрева/переохлаждения помещений, отказ от «отопления улицы» при открытых окнах за счет сценариев (датчик окна → переход в экономичный режим);</w:t>
      </w:r>
      <w:bookmarkStart w:id="11" w:name="fnref5"/>
      <w:bookmarkEnd w:id="11"/>
      <w:hyperlink w:anchor="fn5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[5]</w:t>
        </w:r>
      </w:hyperlink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ночное/выходное снижение температуры и производительности вентиляции по графику и фактической занятости;</w:t>
      </w:r>
      <w:bookmarkStart w:id="12" w:name="fnref6"/>
      <w:bookmarkEnd w:id="12"/>
      <w:hyperlink w:anchor="fn6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[6]</w:t>
        </w:r>
      </w:hyperlink>
      <w:bookmarkStart w:id="13" w:name="fnref7"/>
      <w:bookmarkEnd w:id="13"/>
      <w:hyperlink w:anchor="fn7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[7]</w:t>
        </w:r>
      </w:hyperlink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индивидуальное поддержание температуры в зонах, где находятся посетители, без перегрева малоиспользуемых помещений.</w:t>
      </w:r>
      <w:bookmarkStart w:id="14" w:name="fnref7_1"/>
      <w:bookmarkEnd w:id="14"/>
      <w:hyperlink w:anchor="fn7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[7]</w:t>
        </w:r>
      </w:hyperlink>
    </w:p>
    <w:p>
      <w:pPr>
        <w:spacing w:line="360" w:before="315" w:after="105" w:lineRule="auto"/>
        <w:ind w:left="-30"/>
        <w:jc w:val="left"/>
      </w:pPr>
      <w:bookmarkStart w:id="15" w:name="система_оповещения_в_том_числе_ав_b8083c"/>
      <w:r>
        <w:rPr>
          <w:rFonts w:eastAsia="georgia" w:cs="georgia" w:ascii="georgia" w:hAnsi="georgia"/>
          <w:b/>
          <w:color w:val="000000"/>
          <w:sz w:val="24"/>
        </w:rPr>
        <w:t xml:space="preserve">Система оповещения (в том числе аварийные уведомления персоналу)</w:t>
      </w:r>
      <w:bookmarkEnd w:id="15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Полная автоматизация инженерных систем через BMS повышает информированность о работе оборудования, позволяет оперативно реагировать на аварийные ситуации и уменьшать простои.</w:t>
      </w:r>
      <w:bookmarkStart w:id="16" w:name="fnref8"/>
      <w:bookmarkEnd w:id="16"/>
      <w:hyperlink w:anchor="fn8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[8]</w:t>
        </w:r>
      </w:hyperlink>
      <w:bookmarkStart w:id="17" w:name="fnref1_1"/>
      <w:bookmarkEnd w:id="17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Внедрение мониторинга и оповещения (аварии, превышения параметров, двери/окна, температура) типично уменьшает незапланированные простои и аварийные выезды на 20–30% и снижает затраты на обслуживание на 15–25% за счет профилактики.</w:t>
      </w:r>
      <w:bookmarkStart w:id="18" w:name="fnref9"/>
      <w:bookmarkEnd w:id="18"/>
      <w:hyperlink w:anchor="fn9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[9]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Ключевые эффекты: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своевременное оповещение при выходе параметров за пределы (температура, влажность, отказ вентиляции/котла);</w:t>
      </w:r>
      <w:bookmarkStart w:id="19" w:name="fnref1_2"/>
      <w:bookmarkEnd w:id="19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  <w:bookmarkStart w:id="20" w:name="fnref6_1"/>
      <w:bookmarkEnd w:id="20"/>
      <w:hyperlink w:anchor="fn6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[6]</w:t>
        </w:r>
      </w:hyperlink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снижение риска порчи оборудования и интерьера (перегрев, разморозка, протечки);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повышение безопасности для пожилых посетителей (быстрая реакция на аварии, срабатывание тревожных кнопок, уведомления дежурным).</w:t>
      </w:r>
    </w:p>
    <w:p>
      <w:pPr>
        <w:spacing w:line="360" w:before="315" w:after="105" w:lineRule="auto"/>
        <w:ind w:left="-30"/>
        <w:jc w:val="left"/>
      </w:pPr>
      <w:bookmarkStart w:id="21" w:name="система_доступа_скуд_контроль_дос_1110e6"/>
      <w:r>
        <w:rPr>
          <w:rFonts w:eastAsia="georgia" w:cs="georgia" w:ascii="georgia" w:hAnsi="georgia"/>
          <w:b/>
          <w:color w:val="000000"/>
          <w:sz w:val="24"/>
        </w:rPr>
        <w:t xml:space="preserve">Система доступа (СКУД/контроль доступа, возможно — с видеонаблюдением)</w:t>
      </w:r>
      <w:bookmarkEnd w:id="21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Интеллектуальные системы доступа и видеонаблюдения сокращают потери от несанкционированного доступа, упрощают администрирование доступа и позволяют уменьшать количество постов охраны либо их нагрузку.</w:t>
      </w:r>
      <w:bookmarkStart w:id="22" w:name="fnref10"/>
      <w:bookmarkEnd w:id="22"/>
      <w:hyperlink w:anchor="fn10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[10]</w:t>
        </w:r>
      </w:hyperlink>
      <w:bookmarkStart w:id="23" w:name="fnref1_3"/>
      <w:bookmarkEnd w:id="23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Автоматизация доступа в общественных зданиях часто не дает большой прямой экономии энергоресурсов, но заметно снижает операционные и кадровые затраты (охрана, администрирование ключей/карт) и повышает комфорт и безопасность.</w:t>
      </w:r>
      <w:bookmarkStart w:id="24" w:name="fnref11"/>
      <w:bookmarkEnd w:id="24"/>
      <w:hyperlink w:anchor="fn1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[11]</w:t>
        </w:r>
      </w:hyperlink>
      <w:bookmarkStart w:id="25" w:name="fnref1_4"/>
      <w:bookmarkEnd w:id="25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Ключевые эффекты: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исключение «человеческого фактора» (забыли закрыть дверь, пропустили постороннего);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удобство для сотрудников и посетителей (бесключевой доступ, расписания, возможность временных пропусков);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фиксирование статистики посещений и загрузки центра (оптимизация графиков работы).</w:t>
      </w:r>
    </w:p>
    <w:p>
      <w:pPr>
        <w:spacing w:line="360" w:before="315" w:after="105" w:lineRule="auto"/>
        <w:ind w:left="-30"/>
        <w:jc w:val="left"/>
      </w:pPr>
      <w:bookmarkStart w:id="26" w:name="bm_3_матрица_затраты_на_внедрение_5d5dd2"/>
      <w:r>
        <w:rPr>
          <w:rFonts w:eastAsia="georgia" w:cs="georgia" w:ascii="georgia" w:hAnsi="georgia"/>
          <w:b/>
          <w:color w:val="000000"/>
          <w:sz w:val="24"/>
        </w:rPr>
        <w:t xml:space="preserve">3. Матрица «затраты на внедрение – эффект» (для предложения руководителю)</w:t>
      </w:r>
      <w:bookmarkEnd w:id="26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Оценка ориентировочная, в относительных баллах (1–5) и типичных процентах экономии, для центра масштаба 140 м².</w:t>
      </w:r>
      <w:bookmarkStart w:id="27" w:name="fnref4_1"/>
      <w:bookmarkEnd w:id="27"/>
      <w:hyperlink w:anchor="fn4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[4]</w:t>
        </w:r>
      </w:hyperlink>
      <w:bookmarkStart w:id="28" w:name="fnref2_2"/>
      <w:bookmarkEnd w:id="28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bookmarkStart w:id="29" w:name="fnref3_3"/>
      <w:bookmarkEnd w:id="29"/>
      <w:hyperlink w:anchor="fn3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[3]</w:t>
        </w:r>
      </w:hyperlink>
      <w:bookmarkStart w:id="30" w:name="fnref6_2"/>
      <w:bookmarkEnd w:id="30"/>
      <w:hyperlink w:anchor="fn6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[6]</w:t>
        </w:r>
      </w:hyperlink>
      <w:bookmarkStart w:id="31" w:name="fnref8_1"/>
      <w:bookmarkEnd w:id="31"/>
      <w:hyperlink w:anchor="fn8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[8]</w:t>
        </w:r>
      </w:hyperlink>
    </w:p>
    <w:p>
      <w:pPr>
        <w:spacing w:line="360" w:before="315" w:after="105" w:lineRule="auto"/>
        <w:ind w:left="-30"/>
        <w:jc w:val="left"/>
      </w:pPr>
      <w:bookmarkStart w:id="32" w:name="таблица_приоритизации_систем"/>
      <w:r>
        <w:rPr>
          <w:rFonts w:eastAsia="georgia" w:cs="georgia" w:ascii="georgia" w:hAnsi="georgia"/>
          <w:b/>
          <w:color w:val="000000"/>
          <w:sz w:val="24"/>
        </w:rPr>
        <w:t xml:space="preserve">Таблица приоритизации систем</w:t>
      </w:r>
      <w:bookmarkEnd w:id="32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585"/>
        <w:gridCol w:w="1585"/>
        <w:gridCol w:w="1585"/>
        <w:gridCol w:w="1585"/>
        <w:gridCol w:w="1585"/>
        <w:gridCol w:w="158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Система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Капзатраты (1–5)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Экономия ресурсов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Экономия OPEX/персонал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Повышение комфорта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Итоговый приоритет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Климат‑контроль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3–4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15–30% по теплу и до 10–15% по электроэнергии на климате</w:t>
            </w:r>
            <w:hyperlink w:anchor="fn2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[2]</w:t>
              </w:r>
            </w:hyperlink>
            <w:hyperlink w:anchor="fn3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[3]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5–10% за счёт уменьшения аварий/ручных операций</w:t>
            </w:r>
            <w:hyperlink w:anchor="fn1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[1]</w:t>
              </w:r>
            </w:hyperlink>
            <w:hyperlink w:anchor="fn11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[11]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Высокое: стабильная температура, качество воздуха</w:t>
            </w:r>
            <w:hyperlink w:anchor="fn7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[7]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 (высший)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Система оповещения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2–3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Косвенная (превенция аварий → до 5–10% общих потерь)</w:t>
            </w:r>
            <w:hyperlink w:anchor="fn1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[1]</w:t>
              </w:r>
            </w:hyperlink>
            <w:hyperlink w:anchor="fn8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[8]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15–25% экономии на аварийных выездах и ремонтах</w:t>
            </w:r>
            <w:hyperlink w:anchor="fn9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[9]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Высокое: безопасность, оперативная реакция</w:t>
            </w:r>
            <w:hyperlink w:anchor="fn1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[1]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Система доступа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2–3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Незначительная прямая (до 2–3% через исключение лишнего освещения/климата при закрытии зон)</w:t>
            </w:r>
            <w:hyperlink w:anchor="fn11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[11]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10–20% по затратам на охрану/администрирование доступа</w:t>
            </w:r>
            <w:hyperlink w:anchor="fn1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[1]</w:t>
              </w:r>
            </w:hyperlink>
            <w:hyperlink w:anchor="fn10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[10]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Средне-высокое: безопасность, удобство входа</w:t>
            </w:r>
            <w:hyperlink w:anchor="fn1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[1]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3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Уровень капзатрат условно учитывает стоимость контроллера/BMS, датчиков, исполнительных устройств, интеграции и наладки.</w:t>
      </w:r>
    </w:p>
    <w:p>
      <w:pPr>
        <w:spacing w:line="360" w:before="315" w:after="105" w:lineRule="auto"/>
        <w:ind w:left="-30"/>
        <w:jc w:val="left"/>
      </w:pPr>
      <w:bookmarkStart w:id="33" w:name="bm_4_предлагаемый_поэтапный_план_b2f209"/>
      <w:r>
        <w:rPr>
          <w:rFonts w:eastAsia="georgia" w:cs="georgia" w:ascii="georgia" w:hAnsi="georgia"/>
          <w:b/>
          <w:color w:val="000000"/>
          <w:sz w:val="24"/>
        </w:rPr>
        <w:t xml:space="preserve">4. Предлагаемый поэтапный план внедрения</w:t>
      </w:r>
      <w:bookmarkEnd w:id="33"/>
    </w:p>
    <w:p>
      <w:pPr>
        <w:spacing w:line="360" w:before="315" w:after="105" w:lineRule="auto"/>
        <w:ind w:left="-30"/>
        <w:jc w:val="left"/>
      </w:pPr>
      <w:bookmarkStart w:id="34" w:name="этап_1_климат_контроль_первичная_dadce0"/>
      <w:r>
        <w:rPr>
          <w:rFonts w:eastAsia="georgia" w:cs="georgia" w:ascii="georgia" w:hAnsi="georgia"/>
          <w:b/>
          <w:color w:val="000000"/>
          <w:sz w:val="24"/>
        </w:rPr>
        <w:t xml:space="preserve">Этап 1. Климат‑контроль (первичная автоматизация)</w:t>
      </w:r>
      <w:bookmarkEnd w:id="34"/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Внедрить локальные термостаты и датчики присутствия по ключевым зонам (залы занятий, кабинеты, коридоры).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Реализовать погодозависимое регулирование отопления и графики работы вентиляции/кондиционеров по расписанию центра, с учетом выходных и праздничных дней.</w:t>
      </w:r>
      <w:bookmarkStart w:id="35" w:name="fnref3_5"/>
      <w:bookmarkEnd w:id="35"/>
      <w:hyperlink w:anchor="fn3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[3]</w:t>
        </w:r>
      </w:hyperlink>
      <w:bookmarkStart w:id="36" w:name="fnref6_3"/>
      <w:bookmarkEnd w:id="36"/>
      <w:hyperlink w:anchor="fn6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[6]</w:t>
        </w:r>
      </w:hyperlink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Ввести базовый сценарный контроль: «открыто окно → климат в экономичный режим», ночной/закрытый режим с пониженной температурой и вентиляцией.</w:t>
      </w:r>
      <w:bookmarkStart w:id="37" w:name="fnref5_1"/>
      <w:bookmarkEnd w:id="37"/>
      <w:hyperlink w:anchor="fn5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[5]</w:t>
        </w:r>
      </w:hyperlink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Объединить управление в недорогую BMS/контроллер с возможностью дальнейшего расширения (оповещение, СКУД).</w:t>
      </w:r>
      <w:bookmarkStart w:id="38" w:name="fnref8_3"/>
      <w:bookmarkEnd w:id="38"/>
      <w:hyperlink w:anchor="fn8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[8]</w:t>
        </w:r>
      </w:hyperlink>
      <w:bookmarkStart w:id="39" w:name="fnref1_10"/>
      <w:bookmarkEnd w:id="39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Ожидаемый эффект: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экономия до 20–30% по затратам на отопление и климатические системы, окупаемость 2–3 года;</w:t>
      </w:r>
      <w:bookmarkStart w:id="40" w:name="fnref2_4"/>
      <w:bookmarkEnd w:id="40"/>
      <w:hyperlink w:anchor="fn2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[2]</w:t>
        </w:r>
      </w:hyperlink>
      <w:bookmarkStart w:id="41" w:name="fnref3_6"/>
      <w:bookmarkEnd w:id="41"/>
      <w:hyperlink w:anchor="fn3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[3]</w:t>
        </w:r>
      </w:hyperlink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повышение комфорта (стабильная температура, отсутствие сквозняков и перегрева), снижение жалоб посетителей.</w:t>
      </w:r>
      <w:bookmarkStart w:id="42" w:name="fnref7_3"/>
      <w:bookmarkEnd w:id="42"/>
      <w:hyperlink w:anchor="fn7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[7]</w:t>
        </w:r>
      </w:hyperlink>
    </w:p>
    <w:p>
      <w:pPr>
        <w:spacing w:line="360" w:before="315" w:after="105" w:lineRule="auto"/>
        <w:ind w:left="-30"/>
        <w:jc w:val="left"/>
      </w:pPr>
      <w:bookmarkStart w:id="43" w:name="этап_2_система_оповещения_и_мониторинга"/>
      <w:r>
        <w:rPr>
          <w:rFonts w:eastAsia="georgia" w:cs="georgia" w:ascii="georgia" w:hAnsi="georgia"/>
          <w:b/>
          <w:color w:val="000000"/>
          <w:sz w:val="24"/>
        </w:rPr>
        <w:t xml:space="preserve">Этап 2. Система оповещения и мониторинга</w:t>
      </w:r>
      <w:bookmarkEnd w:id="43"/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Организовать централизованный мониторинг основных инженерных систем (отопление, вентиляция, кондиционеры, электроснабжение, состояние дверей/окон, температурные лимиты) с выводом на единую панель диспетчера.</w:t>
      </w:r>
      <w:bookmarkStart w:id="44" w:name="fnref6_4"/>
      <w:bookmarkEnd w:id="44"/>
      <w:hyperlink w:anchor="fn6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[6]</w:t>
        </w:r>
      </w:hyperlink>
      <w:bookmarkStart w:id="45" w:name="fnref1_11"/>
      <w:bookmarkEnd w:id="45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Настроить автоматические оповещения (SMS/мессенджер/e‑mail) для дежурного персонала при аварийных событиях: перегрев, отказ оборудования, открытая дверь вне графика, сработка датчиков протечки/дыма и т.п.</w:t>
      </w:r>
      <w:bookmarkStart w:id="46" w:name="fnref1_12"/>
      <w:bookmarkEnd w:id="46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  <w:bookmarkStart w:id="47" w:name="fnref8_4"/>
      <w:bookmarkEnd w:id="47"/>
      <w:hyperlink w:anchor="fn8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[8]</w:t>
        </w:r>
      </w:hyperlink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Внедрить простые предиктивные сценарии: если рост температуры в помещении при выключенной системе — проверить окна/двери, если рост потребления — проверка оборудования.</w:t>
      </w:r>
      <w:bookmarkStart w:id="48" w:name="fnref6_5"/>
      <w:bookmarkEnd w:id="48"/>
      <w:hyperlink w:anchor="fn6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[6]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Ожидаемый эффект: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снижение аварийных ситуаций и незапланированных ремонтов, экономия до 15–25% расходов на обслуживание инженерных систем;</w:t>
      </w:r>
      <w:bookmarkStart w:id="49" w:name="fnref9_2"/>
      <w:bookmarkEnd w:id="49"/>
      <w:hyperlink w:anchor="fn9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[9]</w:t>
        </w:r>
      </w:hyperlink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рост уровня безопасности и спокойствия для пожилых посетителей и персонала (быстрая реакция на нештатные ситуации).</w:t>
      </w:r>
      <w:bookmarkStart w:id="50" w:name="fnref8_5"/>
      <w:bookmarkEnd w:id="50"/>
      <w:hyperlink w:anchor="fn8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[8]</w:t>
        </w:r>
      </w:hyperlink>
      <w:bookmarkStart w:id="51" w:name="fnref1_13"/>
      <w:bookmarkEnd w:id="51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spacing w:line="360" w:before="315" w:after="105" w:lineRule="auto"/>
        <w:ind w:left="-30"/>
        <w:jc w:val="left"/>
      </w:pPr>
      <w:bookmarkStart w:id="52" w:name="этап_3_система_доступа"/>
      <w:r>
        <w:rPr>
          <w:rFonts w:eastAsia="georgia" w:cs="georgia" w:ascii="georgia" w:hAnsi="georgia"/>
          <w:b/>
          <w:color w:val="000000"/>
          <w:sz w:val="24"/>
        </w:rPr>
        <w:t xml:space="preserve">Этап 3. Система доступа</w:t>
      </w:r>
      <w:bookmarkEnd w:id="52"/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Внедрить СКУД с разграничением прав доступа (персонал, поставщики, технические помещения) и расписаниями открытия дверей по режиму работы центра.</w:t>
      </w:r>
      <w:bookmarkStart w:id="53" w:name="fnref10_2"/>
      <w:bookmarkEnd w:id="53"/>
      <w:hyperlink w:anchor="fn10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[10]</w:t>
        </w:r>
      </w:hyperlink>
      <w:bookmarkStart w:id="54" w:name="fnref1_14"/>
      <w:bookmarkEnd w:id="54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При наличии видеонаблюдения – интегрировать его с системой доступа (видеоподтверждение событий).</w:t>
      </w:r>
      <w:bookmarkStart w:id="55" w:name="fnref1_15"/>
      <w:bookmarkEnd w:id="55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Настроить связь СКУД с BMS: закрытие/открытие зон автоматически включает/выключает освещение и климат в соответствующих помещениях.</w:t>
      </w:r>
      <w:bookmarkStart w:id="56" w:name="fnref11_3"/>
      <w:bookmarkEnd w:id="56"/>
      <w:hyperlink w:anchor="fn1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[11]</w:t>
        </w:r>
      </w:hyperlink>
      <w:bookmarkStart w:id="57" w:name="fnref6_6"/>
      <w:bookmarkEnd w:id="57"/>
      <w:hyperlink w:anchor="fn6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[6]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Ожидаемый эффект: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снижение затрат на охрану/администрирование доступа на 10–20% за счёт автоматизации процессов;</w:t>
      </w:r>
      <w:bookmarkStart w:id="58" w:name="fnref10_3"/>
      <w:bookmarkEnd w:id="58"/>
      <w:hyperlink w:anchor="fn10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[10]</w:t>
        </w:r>
      </w:hyperlink>
      <w:bookmarkStart w:id="59" w:name="fnref1_16"/>
      <w:bookmarkEnd w:id="59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повышение субъективного чувства безопасности и удобства для посетителей (контролируемый вход, меньше случайных посторонних).</w:t>
      </w:r>
      <w:bookmarkStart w:id="60" w:name="fnref1_17"/>
      <w:bookmarkEnd w:id="60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spacing w:line="360" w:before="315" w:after="105" w:lineRule="auto"/>
        <w:ind w:left="-30"/>
        <w:jc w:val="left"/>
      </w:pPr>
      <w:bookmarkStart w:id="61" w:name="bm_5_как_представить_это_руководи_797b71"/>
      <w:r>
        <w:rPr>
          <w:rFonts w:eastAsia="georgia" w:cs="georgia" w:ascii="georgia" w:hAnsi="georgia"/>
          <w:b/>
          <w:color w:val="000000"/>
          <w:sz w:val="24"/>
        </w:rPr>
        <w:t xml:space="preserve">5. Как представить это руководителю (формат для бюджета)</w:t>
      </w:r>
      <w:bookmarkEnd w:id="61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Для расчёта бюджета и обоснования решения можно использовать простую матрицу по каждому этапу:</w:t>
      </w:r>
    </w:p>
    <w:p>
      <w:pPr>
        <w:numPr>
          <w:ilvl w:val="0"/>
          <w:numId w:val="11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Капитальные затраты:</w:t>
      </w:r>
    </w:p>
    <w:p>
      <w:pPr>
        <w:numPr>
          <w:ilvl w:val="1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оборудование (контроллер, датчики, исполнительные устройства, СКУД, ПО);</w:t>
      </w:r>
    </w:p>
    <w:p>
      <w:pPr>
        <w:numPr>
          <w:ilvl w:val="1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проектирование и монтаж;</w:t>
      </w:r>
    </w:p>
    <w:p>
      <w:pPr>
        <w:numPr>
          <w:ilvl w:val="1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интеграция и пусконаладка.</w:t>
      </w:r>
    </w:p>
    <w:p>
      <w:pPr>
        <w:numPr>
          <w:ilvl w:val="0"/>
          <w:numId w:val="11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Экономия ресурсов (в год):</w:t>
      </w:r>
    </w:p>
    <w:p>
      <w:pPr>
        <w:numPr>
          <w:ilvl w:val="1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климат‑контроль: оценка текущих затрат на тепло и электроэнергию (по фактическим счетам) и применение консервативного коэффициента экономии (например, 15–20% вместо максимальных 30% из исследований);</w:t>
      </w:r>
      <w:bookmarkStart w:id="62" w:name="fnref2_5"/>
      <w:bookmarkEnd w:id="62"/>
      <w:hyperlink w:anchor="fn2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[2]</w:t>
        </w:r>
      </w:hyperlink>
      <w:bookmarkStart w:id="63" w:name="fnref3_7"/>
      <w:bookmarkEnd w:id="63"/>
      <w:hyperlink w:anchor="fn3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[3]</w:t>
        </w:r>
      </w:hyperlink>
    </w:p>
    <w:p>
      <w:pPr>
        <w:numPr>
          <w:ilvl w:val="1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дополнительные эффекты от сценариев (выключение оборудования вне графика, экономичный режим при отсутствии людей).</w:t>
      </w:r>
      <w:bookmarkStart w:id="64" w:name="fnref5_2"/>
      <w:bookmarkEnd w:id="64"/>
      <w:hyperlink w:anchor="fn5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[5]</w:t>
        </w:r>
      </w:hyperlink>
      <w:bookmarkStart w:id="65" w:name="fnref6_7"/>
      <w:bookmarkEnd w:id="65"/>
      <w:hyperlink w:anchor="fn6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[6]</w:t>
        </w:r>
      </w:hyperlink>
    </w:p>
    <w:p>
      <w:pPr>
        <w:numPr>
          <w:ilvl w:val="0"/>
          <w:numId w:val="11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Экономия операционных расходов (в год):</w:t>
      </w:r>
    </w:p>
    <w:p>
      <w:pPr>
        <w:numPr>
          <w:ilvl w:val="1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уменьшение количества аварийных выездов и ремонтов (по статистике прошлых лет – оценка снижения на 15–25% после внедрения мониторинга и оповещения);</w:t>
      </w:r>
      <w:bookmarkStart w:id="66" w:name="fnref9_3"/>
      <w:bookmarkEnd w:id="66"/>
      <w:hyperlink w:anchor="fn9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[9]</w:t>
        </w:r>
      </w:hyperlink>
      <w:bookmarkStart w:id="67" w:name="fnref8_6"/>
      <w:bookmarkEnd w:id="67"/>
      <w:hyperlink w:anchor="fn8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[8]</w:t>
        </w:r>
      </w:hyperlink>
    </w:p>
    <w:p>
      <w:pPr>
        <w:numPr>
          <w:ilvl w:val="1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возможная оптимизация затрат на охрану и администрирование доступа (частичный отказ от ручной регистрации, сокращение смен).</w:t>
      </w:r>
      <w:bookmarkStart w:id="68" w:name="fnref10_4"/>
      <w:bookmarkEnd w:id="68"/>
      <w:hyperlink w:anchor="fn10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[10]</w:t>
        </w:r>
      </w:hyperlink>
      <w:bookmarkStart w:id="69" w:name="fnref1_18"/>
      <w:bookmarkEnd w:id="69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11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Повышение комфорта (качественные показатели):</w:t>
      </w:r>
    </w:p>
    <w:p>
      <w:pPr>
        <w:numPr>
          <w:ilvl w:val="1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снижение числа жалоб на температуру, духоту, сквозняки;</w:t>
      </w:r>
    </w:p>
    <w:p>
      <w:pPr>
        <w:numPr>
          <w:ilvl w:val="1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повышение удовлетворенности посетителей и персонала условиями в центре;</w:t>
      </w:r>
    </w:p>
    <w:p>
      <w:pPr>
        <w:numPr>
          <w:ilvl w:val="1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рост уровня безопасности (быстрая реакция на аварии, контроль доступа).</w:t>
      </w:r>
      <w:bookmarkStart w:id="70" w:name="fnref7_4"/>
      <w:bookmarkEnd w:id="70"/>
      <w:hyperlink w:anchor="fn7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[7]</w:t>
        </w:r>
      </w:hyperlink>
      <w:bookmarkStart w:id="71" w:name="fnref8_7"/>
      <w:bookmarkEnd w:id="71"/>
      <w:hyperlink w:anchor="fn8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[8]</w:t>
        </w:r>
      </w:hyperlink>
      <w:bookmarkStart w:id="72" w:name="fnref1_19"/>
      <w:bookmarkEnd w:id="72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Финальный слайд/раздел для руководителя: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Таблица с тремя системами и суммой «капзатраты – годовая экономия ресурсов – годовая экономия OPEX – срок окупаемости».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Отдельный блок про нематериальные эффекты: комфорт, имидж современного «умного» центра, снижение рисков для пожилых людей.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Какой горизонт планирования бюджета для центра долголетия вам важнее заложить в расчёт: 3 года или 5 лет?</w:t>
      </w:r>
      <w:r>
        <w:rPr>
          <w:rFonts w:eastAsia="georgia" w:cs="georgia" w:ascii="georgia" w:hAnsi="georgia"/>
          <w:color w:val="000000"/>
        </w:rPr>
        <w:br w:type="textWrapping"/>
      </w:r>
    </w:p>
    <w:p>
      <w:pPr>
        <w:spacing w:line="360" w:lineRule="auto"/>
      </w:pPr>
      <w:r>
        <w:rPr>
          <w:rFonts w:eastAsia="georgia" w:cs="georgia" w:ascii="georgia" w:hAnsi="georgia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bookmarkStart w:id="73" w:name="fn1"/>
    <w:bookmarkEnd w:id="73"/>
    <w:p>
      <w:pPr>
        <w:numPr>
          <w:ilvl w:val="0"/>
          <w:numId w:val="14"/>
        </w:numPr>
        <w:spacing w:line="360" w:after="210" w:lineRule="auto"/>
      </w:pPr>
      <w:hyperlink r:id="rId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https://www.abok.ru/for_spec/articles.php?nid=9038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74" w:name="fn2"/>
    <w:bookmarkEnd w:id="74"/>
    <w:p>
      <w:pPr>
        <w:numPr>
          <w:ilvl w:val="0"/>
          <w:numId w:val="14"/>
        </w:numPr>
        <w:spacing w:line="360" w:after="210" w:lineRule="auto"/>
      </w:pPr>
      <w:hyperlink r:id="rId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https://www.secuteck.ru/articles/avtomatizaciya-inzhenernyh-sistem-v-zhilom-sektore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75" w:name="fn3"/>
    <w:bookmarkEnd w:id="75"/>
    <w:p>
      <w:pPr>
        <w:numPr>
          <w:ilvl w:val="0"/>
          <w:numId w:val="14"/>
        </w:numPr>
        <w:spacing w:line="360" w:after="210" w:lineRule="auto"/>
      </w:pPr>
      <w:hyperlink r:id="rId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https://www.c-o-k.ru/articles/avtomatizaciya-inzhenernyh-sistem-opros-ekspertov?erid=2Vfnxxcg7dS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76" w:name="fn4"/>
    <w:bookmarkEnd w:id="76"/>
    <w:p>
      <w:pPr>
        <w:numPr>
          <w:ilvl w:val="0"/>
          <w:numId w:val="14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18"/>
        </w:rPr>
        <w:t xml:space="preserve">8088.pdf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77" w:name="fn5"/>
    <w:bookmarkEnd w:id="77"/>
    <w:p>
      <w:pPr>
        <w:numPr>
          <w:ilvl w:val="0"/>
          <w:numId w:val="14"/>
        </w:numPr>
        <w:spacing w:line="360" w:after="210" w:lineRule="auto"/>
      </w:pPr>
      <w:hyperlink r:id="rId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https://knx24.com/news/base/plyusy_umnogo_doma/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78" w:name="fn6"/>
    <w:bookmarkEnd w:id="78"/>
    <w:p>
      <w:pPr>
        <w:numPr>
          <w:ilvl w:val="0"/>
          <w:numId w:val="14"/>
        </w:numPr>
        <w:spacing w:line="360" w:after="210" w:lineRule="auto"/>
      </w:pPr>
      <w:hyperlink r:id="rId1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https://ru.owon-smart.com/news/the-vital-role-of-building-energy-management-systems-bems-in-energy-efficient-buildings/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79" w:name="fn7"/>
    <w:bookmarkEnd w:id="79"/>
    <w:p>
      <w:pPr>
        <w:numPr>
          <w:ilvl w:val="0"/>
          <w:numId w:val="14"/>
        </w:numPr>
        <w:spacing w:line="360" w:after="210" w:lineRule="auto"/>
      </w:pPr>
      <w:hyperlink r:id="rId1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https://airflower.ru/blog/avtomatizatsiyu/sistema-klimat-kontrolya-dlya-umnogo-doma-printsip-raboty-i-preimushchestva-avtomatizatsii/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80" w:name="fn8"/>
    <w:bookmarkEnd w:id="80"/>
    <w:p>
      <w:pPr>
        <w:numPr>
          <w:ilvl w:val="0"/>
          <w:numId w:val="14"/>
        </w:numPr>
        <w:spacing w:line="360" w:after="210" w:lineRule="auto"/>
      </w:pPr>
      <w:hyperlink r:id="rId12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https://www.cta.ru/articles/cta/otrasli/avtomatizatsiya-zdaniy/124450/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81" w:name="fn9"/>
    <w:bookmarkEnd w:id="81"/>
    <w:p>
      <w:pPr>
        <w:numPr>
          <w:ilvl w:val="0"/>
          <w:numId w:val="14"/>
        </w:numPr>
        <w:spacing w:line="360" w:after="210" w:lineRule="auto"/>
      </w:pPr>
      <w:hyperlink r:id="rId13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https://www.large-battery.com/ru/blog/smart-bms-inspection-robots-remote-monitoring-predictive/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82" w:name="fn10"/>
    <w:bookmarkEnd w:id="82"/>
    <w:p>
      <w:pPr>
        <w:numPr>
          <w:ilvl w:val="0"/>
          <w:numId w:val="14"/>
        </w:numPr>
        <w:spacing w:line="360" w:after="210" w:lineRule="auto"/>
      </w:pPr>
      <w:hyperlink r:id="rId14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https://www.abok.ru/for_spec/articles.php?nid=3434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83" w:name="fn11"/>
    <w:bookmarkEnd w:id="83"/>
    <w:p>
      <w:pPr>
        <w:numPr>
          <w:ilvl w:val="0"/>
          <w:numId w:val="14"/>
        </w:numPr>
        <w:spacing w:line="360" w:after="210" w:lineRule="auto"/>
      </w:pPr>
      <w:hyperlink r:id="rId15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https://www.system-p.ru/avtomatizaciyainzhenernyhsistem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84" w:name="fn12"/>
    <w:bookmarkEnd w:id="84"/>
    <w:p>
      <w:pPr>
        <w:numPr>
          <w:ilvl w:val="0"/>
          <w:numId w:val="14"/>
        </w:numPr>
        <w:spacing w:line="360" w:after="210" w:lineRule="auto"/>
      </w:pPr>
      <w:hyperlink r:id="rId1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https://mks-g.ru/articles/avtomatizaciya-inzhenernyh-sistem/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85" w:name="fn13"/>
    <w:bookmarkEnd w:id="85"/>
    <w:p>
      <w:pPr>
        <w:numPr>
          <w:ilvl w:val="0"/>
          <w:numId w:val="14"/>
        </w:numPr>
        <w:spacing w:line="360" w:after="210" w:lineRule="auto"/>
      </w:pPr>
      <w:hyperlink r:id="rId1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https://assets.new.siemens.com/siemens/assets/api/uuid:82159048-d58f-4f36-aef2-a835e1a284a0/version:1562586762/energyefficiency-automation-2013-04-ru.pdf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86" w:name="fn14"/>
    <w:bookmarkEnd w:id="86"/>
    <w:p>
      <w:pPr>
        <w:numPr>
          <w:ilvl w:val="0"/>
          <w:numId w:val="14"/>
        </w:numPr>
        <w:spacing w:line="360" w:after="210" w:lineRule="auto"/>
      </w:pPr>
      <w:hyperlink r:id="rId1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https://www.airventcom.com/uslugi/avtomatizatsiya-inzhenernykh-sistem/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87" w:name="fn15"/>
    <w:bookmarkEnd w:id="87"/>
    <w:p>
      <w:pPr>
        <w:numPr>
          <w:ilvl w:val="0"/>
          <w:numId w:val="14"/>
        </w:numPr>
        <w:spacing w:line="360" w:after="210" w:lineRule="auto"/>
      </w:pPr>
      <w:hyperlink r:id="rId1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https://www.spb-optima.ru/umnyi-dom/climate-checking-the-system-clever-house.html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88" w:name="fn16"/>
    <w:bookmarkEnd w:id="88"/>
    <w:p>
      <w:pPr>
        <w:numPr>
          <w:ilvl w:val="0"/>
          <w:numId w:val="14"/>
        </w:numPr>
        <w:spacing w:line="360" w:after="210" w:lineRule="auto"/>
      </w:pPr>
      <w:hyperlink r:id="rId2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https://advanced-energy.ru/news/modulnaya-bms-preimushchestva-i-osobennosti/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  <w:font w:name="helvetica neue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3">
    <w:multiLevelType w:val="hybridMultilevel"/>
  </w:abstractNum>
  <w:abstractNum w:abstractNumId="14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ru-RU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4780963230932e0c02e87f77b82ef7459cc64975.png" TargetMode="Internal"/><Relationship Id="rId6" Type="http://schemas.openxmlformats.org/officeDocument/2006/relationships/hyperlink" Target="https://www.abok.ru/for_spec/articles.php?nid=9038" TargetMode="External"/><Relationship Id="rId7" Type="http://schemas.openxmlformats.org/officeDocument/2006/relationships/hyperlink" Target="https://www.secuteck.ru/articles/avtomatizaciya-inzhenernyh-sistem-v-zhilom-sektore" TargetMode="External"/><Relationship Id="rId8" Type="http://schemas.openxmlformats.org/officeDocument/2006/relationships/hyperlink" Target="https://www.c-o-k.ru/articles/avtomatizaciya-inzhenernyh-sistem-opros-ekspertov?erid=2Vfnxxcg7dS" TargetMode="External"/><Relationship Id="rId9" Type="http://schemas.openxmlformats.org/officeDocument/2006/relationships/hyperlink" Target="https://knx24.com/news/base/plyusy_umnogo_doma/" TargetMode="External"/><Relationship Id="rId10" Type="http://schemas.openxmlformats.org/officeDocument/2006/relationships/hyperlink" Target="https://ru.owon-smart.com/news/the-vital-role-of-building-energy-management-systems-bems-in-energy-efficient-buildings/" TargetMode="External"/><Relationship Id="rId11" Type="http://schemas.openxmlformats.org/officeDocument/2006/relationships/hyperlink" Target="https://airflower.ru/blog/avtomatizatsiyu/sistema-klimat-kontrolya-dlya-umnogo-doma-printsip-raboty-i-preimushchestva-avtomatizatsii/" TargetMode="External"/><Relationship Id="rId12" Type="http://schemas.openxmlformats.org/officeDocument/2006/relationships/hyperlink" Target="https://www.cta.ru/articles/cta/otrasli/avtomatizatsiya-zdaniy/124450/" TargetMode="External"/><Relationship Id="rId13" Type="http://schemas.openxmlformats.org/officeDocument/2006/relationships/hyperlink" Target="https://www.large-battery.com/ru/blog/smart-bms-inspection-robots-remote-monitoring-predictive/" TargetMode="External"/><Relationship Id="rId14" Type="http://schemas.openxmlformats.org/officeDocument/2006/relationships/hyperlink" Target="https://www.abok.ru/for_spec/articles.php?nid=3434" TargetMode="External"/><Relationship Id="rId15" Type="http://schemas.openxmlformats.org/officeDocument/2006/relationships/hyperlink" Target="https://www.system-p.ru/avtomatizaciyainzhenernyhsistem" TargetMode="External"/><Relationship Id="rId16" Type="http://schemas.openxmlformats.org/officeDocument/2006/relationships/hyperlink" Target="https://mks-g.ru/articles/avtomatizaciya-inzhenernyh-sistem/" TargetMode="External"/><Relationship Id="rId17" Type="http://schemas.openxmlformats.org/officeDocument/2006/relationships/hyperlink" Target="https://assets.new.siemens.com/siemens/assets/api/uuid:82159048-d58f-4f36-aef2-a835e1a284a0/version:1562586762/energyefficiency-automation-2013-04-ru.pdf" TargetMode="External"/><Relationship Id="rId18" Type="http://schemas.openxmlformats.org/officeDocument/2006/relationships/hyperlink" Target="https://www.airventcom.com/uslugi/avtomatizatsiya-inzhenernykh-sistem/" TargetMode="External"/><Relationship Id="rId19" Type="http://schemas.openxmlformats.org/officeDocument/2006/relationships/hyperlink" Target="https://www.spb-optima.ru/umnyi-dom/climate-checking-the-system-clever-house.html" TargetMode="External"/><Relationship Id="rId20" Type="http://schemas.openxmlformats.org/officeDocument/2006/relationships/hyperlink" Target="https://advanced-energy.ru/news/modulnaya-bms-preimushchestva-i-osobennosti/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2026-04-03T14:59:51.554Z</dcterms:created>
  <dcterms:modified xsi:type="dcterms:W3CDTF">2026-04-03T14:59:51.554Z</dcterms:modified>
</cp:coreProperties>
</file>