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27BFDA4D" w:rsidR="0056693D" w:rsidRDefault="00C33C61" w:rsidP="0056693D">
      <w:pPr>
        <w:rPr>
          <w:lang w:val="en-GB"/>
        </w:rPr>
      </w:pPr>
      <w:r>
        <w:rPr>
          <w:lang w:val="en-GB"/>
        </w:rPr>
        <w:t>Biox</w:t>
      </w:r>
      <w:r w:rsidR="00B26D1D">
        <w:rPr>
          <w:lang w:val="en-GB"/>
        </w:rPr>
        <w:t xml:space="preserve"> version 3.2</w:t>
      </w:r>
      <w:r w:rsidR="00BB02C3">
        <w:rPr>
          <w:lang w:val="en-GB"/>
        </w:rPr>
        <w:t>6</w:t>
      </w:r>
    </w:p>
    <w:p w14:paraId="76F4022D" w14:textId="77777777" w:rsidR="00F31002" w:rsidRDefault="00F31002" w:rsidP="00970E73">
      <w:pPr>
        <w:rPr>
          <w:lang w:val="en-GB"/>
        </w:rPr>
      </w:pPr>
    </w:p>
    <w:p w14:paraId="45A2AB01" w14:textId="498A3D8E" w:rsidR="00970E73" w:rsidRDefault="0056693D" w:rsidP="00970E73">
      <w:pPr>
        <w:rPr>
          <w:lang w:val="en-GB"/>
        </w:rPr>
      </w:pPr>
      <w:r>
        <w:rPr>
          <w:lang w:val="en-GB"/>
        </w:rPr>
        <w:t>Last changes</w:t>
      </w:r>
      <w:r w:rsidR="00970E73" w:rsidRPr="00970E73">
        <w:rPr>
          <w:lang w:val="en-GB"/>
        </w:rPr>
        <w:t xml:space="preserve"> </w:t>
      </w:r>
      <w:r w:rsidR="007314F9">
        <w:rPr>
          <w:lang w:val="en-GB"/>
        </w:rPr>
        <w:t>27</w:t>
      </w:r>
      <w:bookmarkStart w:id="0" w:name="_GoBack"/>
      <w:bookmarkEnd w:id="0"/>
      <w:r w:rsidR="002151B3">
        <w:rPr>
          <w:lang w:val="en-GB"/>
        </w:rPr>
        <w:t>/01</w:t>
      </w:r>
      <w:r w:rsidR="00970E73" w:rsidRPr="00970E73">
        <w:rPr>
          <w:lang w:val="en-GB"/>
        </w:rPr>
        <w:t>/20</w:t>
      </w:r>
      <w:r w:rsidR="002151B3">
        <w:rPr>
          <w:lang w:val="en-GB"/>
        </w:rPr>
        <w:t>21</w:t>
      </w:r>
      <w:r w:rsidR="00801376">
        <w:rPr>
          <w:lang w:val="en-GB"/>
        </w:rPr>
        <w:t xml:space="preserve"> </w:t>
      </w:r>
    </w:p>
    <w:p w14:paraId="0D5C3CDA" w14:textId="1B7422ED" w:rsidR="00C8535F" w:rsidRDefault="00C8535F" w:rsidP="00970E73">
      <w:pPr>
        <w:rPr>
          <w:lang w:val="en-GB"/>
        </w:rPr>
      </w:pPr>
      <w:r>
        <w:rPr>
          <w:lang w:val="en-GB"/>
        </w:rPr>
        <w:t>version 3.26</w:t>
      </w:r>
    </w:p>
    <w:p w14:paraId="516CB025" w14:textId="6E1AAB45" w:rsidR="00C8535F" w:rsidRDefault="00BB02C3" w:rsidP="002151B3">
      <w:pPr>
        <w:pStyle w:val="ListParagraph"/>
        <w:numPr>
          <w:ilvl w:val="0"/>
          <w:numId w:val="29"/>
        </w:numPr>
        <w:rPr>
          <w:lang w:val="en-GB"/>
        </w:rPr>
      </w:pPr>
      <w:r>
        <w:rPr>
          <w:lang w:val="en-GB"/>
        </w:rPr>
        <w:t>bugfix: delay added in rz6.write_tasklist() to prevent errors with TaskReady() function.</w:t>
      </w:r>
    </w:p>
    <w:p w14:paraId="0245771B" w14:textId="6781800F" w:rsidR="003C3C2B" w:rsidRPr="00C8535F" w:rsidRDefault="003C3C2B" w:rsidP="002151B3">
      <w:pPr>
        <w:pStyle w:val="ListParagraph"/>
        <w:numPr>
          <w:ilvl w:val="0"/>
          <w:numId w:val="29"/>
        </w:numPr>
        <w:rPr>
          <w:lang w:val="en-GB"/>
        </w:rPr>
      </w:pPr>
      <w:r>
        <w:rPr>
          <w:lang w:val="en-GB"/>
        </w:rPr>
        <w:t>updated 4 core version</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2151B3">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2151B3">
      <w:pPr>
        <w:pStyle w:val="ListParagraph"/>
        <w:numPr>
          <w:ilvl w:val="0"/>
          <w:numId w:val="27"/>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2151B3">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2151B3">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2151B3">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2151B3">
      <w:pPr>
        <w:pStyle w:val="ListParagraph"/>
        <w:numPr>
          <w:ilvl w:val="0"/>
          <w:numId w:val="24"/>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2151B3">
      <w:pPr>
        <w:pStyle w:val="ListParagraph"/>
        <w:numPr>
          <w:ilvl w:val="0"/>
          <w:numId w:val="24"/>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2151B3">
      <w:pPr>
        <w:pStyle w:val="ListParagraph"/>
        <w:numPr>
          <w:ilvl w:val="0"/>
          <w:numId w:val="24"/>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2151B3">
      <w:pPr>
        <w:pStyle w:val="ListParagraph"/>
        <w:numPr>
          <w:ilvl w:val="0"/>
          <w:numId w:val="24"/>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2151B3">
      <w:pPr>
        <w:pStyle w:val="ListParagraph"/>
        <w:numPr>
          <w:ilvl w:val="0"/>
          <w:numId w:val="24"/>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2151B3">
      <w:pPr>
        <w:pStyle w:val="ListParagraph"/>
        <w:numPr>
          <w:ilvl w:val="0"/>
          <w:numId w:val="24"/>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2151B3">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2151B3">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2151B3">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2151B3">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2151B3">
      <w:pPr>
        <w:pStyle w:val="ListParagraph"/>
        <w:numPr>
          <w:ilvl w:val="0"/>
          <w:numId w:val="22"/>
        </w:numPr>
        <w:rPr>
          <w:lang w:val="en-GB"/>
        </w:rPr>
      </w:pPr>
      <w:r>
        <w:rPr>
          <w:lang w:val="en-GB"/>
        </w:rPr>
        <w:t>RCX change: a</w:t>
      </w:r>
      <w:r w:rsidR="00A34689">
        <w:rPr>
          <w:lang w:val="en-GB"/>
        </w:rPr>
        <w:t>udible tic removed at sound stop</w:t>
      </w:r>
    </w:p>
    <w:p w14:paraId="475ADAD9" w14:textId="017AC4AD" w:rsidR="00285C6B" w:rsidRPr="00EC020E" w:rsidRDefault="00FC6560" w:rsidP="002151B3">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151B3">
      <w:pPr>
        <w:pStyle w:val="ListParagraph"/>
        <w:numPr>
          <w:ilvl w:val="0"/>
          <w:numId w:val="22"/>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2151B3">
      <w:pPr>
        <w:pStyle w:val="ListParagraph"/>
        <w:numPr>
          <w:ilvl w:val="0"/>
          <w:numId w:val="20"/>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2151B3">
      <w:pPr>
        <w:pStyle w:val="ListParagraph"/>
        <w:numPr>
          <w:ilvl w:val="0"/>
          <w:numId w:val="20"/>
        </w:numPr>
        <w:rPr>
          <w:lang w:val="en-GB"/>
        </w:rPr>
      </w:pPr>
      <w:r>
        <w:rPr>
          <w:lang w:val="en-GB"/>
        </w:rPr>
        <w:lastRenderedPageBreak/>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2151B3">
      <w:pPr>
        <w:pStyle w:val="ListParagraph"/>
        <w:numPr>
          <w:ilvl w:val="0"/>
          <w:numId w:val="20"/>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2151B3">
      <w:pPr>
        <w:pStyle w:val="ListParagraph"/>
        <w:numPr>
          <w:ilvl w:val="0"/>
          <w:numId w:val="20"/>
        </w:numPr>
        <w:rPr>
          <w:lang w:val="en-GB"/>
        </w:rPr>
      </w:pPr>
      <w:r>
        <w:rPr>
          <w:lang w:val="en-GB"/>
        </w:rPr>
        <w:t>Bugfixs of task ‘SoundB’, ‘B=A’</w:t>
      </w:r>
    </w:p>
    <w:p w14:paraId="6E2DC46F" w14:textId="31EC878B" w:rsidR="00192AFC" w:rsidRPr="00192AFC" w:rsidRDefault="00192AFC" w:rsidP="002151B3">
      <w:pPr>
        <w:pStyle w:val="ListParagraph"/>
        <w:numPr>
          <w:ilvl w:val="0"/>
          <w:numId w:val="20"/>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7314F9">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7314F9">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7314F9">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7314F9">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7314F9">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7314F9">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7314F9">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7314F9">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7314F9">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7314F9">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7314F9">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7314F9">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7314F9">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7314F9">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7314F9">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7314F9">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7314F9">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7314F9">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7314F9">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7314F9">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7314F9">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7314F9">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7314F9">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7314F9">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7314F9">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7314F9">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7314F9">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7314F9">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7314F9">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7314F9">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7314F9">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7314F9">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7314F9">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7314F9">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7314F9">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7314F9">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7314F9">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7314F9">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7314F9">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7314F9">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7314F9">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7314F9">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7314F9">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7314F9">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7314F9">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7314F9">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7314F9">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7314F9">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7314F9">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7314F9">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7314F9">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7314F9">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7314F9">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7314F9">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7314F9">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7314F9">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7314F9">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7314F9">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7314F9">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7314F9">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7314F9">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7314F9">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7314F9">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7314F9">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7314F9">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7314F9">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7314F9">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7314F9">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7314F9">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7314F9">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7314F9">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7314F9">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7314F9">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7314F9">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7314F9">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7314F9">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7314F9">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7314F9">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7314F9">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7314F9">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7314F9">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7314F9">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7314F9">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7314F9">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7314F9">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7314F9">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7314F9">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7314F9">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7314F9">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7314F9">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7314F9">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7314F9">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7314F9">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7314F9">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7314F9">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7314F9">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7314F9">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7314F9">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7314F9">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7314F9">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7314F9">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7314F9">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7314F9">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7314F9">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7314F9">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7314F9">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7314F9">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7314F9">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7314F9">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2151B3">
      <w:pPr>
        <w:pStyle w:val="Heading1"/>
        <w:numPr>
          <w:ilvl w:val="0"/>
          <w:numId w:val="4"/>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2151B3">
      <w:pPr>
        <w:pStyle w:val="Heading2"/>
        <w:numPr>
          <w:ilvl w:val="1"/>
          <w:numId w:val="4"/>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2151B3">
      <w:pPr>
        <w:pStyle w:val="Heading2"/>
        <w:numPr>
          <w:ilvl w:val="1"/>
          <w:numId w:val="4"/>
        </w:numPr>
        <w:rPr>
          <w:lang w:val="en-GB"/>
        </w:rPr>
      </w:pPr>
      <w:bookmarkStart w:id="3" w:name="_Toc48126831"/>
      <w:r>
        <w:rPr>
          <w:lang w:val="en-GB"/>
        </w:rPr>
        <w:t>What can biox_rz6 do?</w:t>
      </w:r>
      <w:bookmarkEnd w:id="3"/>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7314F9"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7314F9"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7314F9"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7314F9"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7314F9"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7314F9"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7314F9"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7314F9"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7314F9"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7314F9"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7314F9"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7314F9"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7314F9"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7314F9"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7314F9" w:rsidP="002151B3">
      <w:pPr>
        <w:pStyle w:val="ListParagraph"/>
        <w:numPr>
          <w:ilvl w:val="0"/>
          <w:numId w:val="14"/>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151B3">
      <w:pPr>
        <w:pStyle w:val="ListParagraph"/>
        <w:numPr>
          <w:ilvl w:val="0"/>
          <w:numId w:val="14"/>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151B3">
      <w:pPr>
        <w:pStyle w:val="ListParagraph"/>
        <w:numPr>
          <w:ilvl w:val="0"/>
          <w:numId w:val="14"/>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75B816F4"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2151B3">
      <w:pPr>
        <w:pStyle w:val="Heading2"/>
        <w:numPr>
          <w:ilvl w:val="1"/>
          <w:numId w:val="4"/>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2151B3">
      <w:pPr>
        <w:pStyle w:val="ListParagraph"/>
        <w:numPr>
          <w:ilvl w:val="0"/>
          <w:numId w:val="9"/>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2151B3">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2151B3">
      <w:pPr>
        <w:pStyle w:val="ListParagraph"/>
        <w:numPr>
          <w:ilvl w:val="0"/>
          <w:numId w:val="9"/>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2151B3">
      <w:pPr>
        <w:pStyle w:val="Heading2"/>
        <w:numPr>
          <w:ilvl w:val="1"/>
          <w:numId w:val="4"/>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7314F9"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151B3">
      <w:pPr>
        <w:pStyle w:val="ListParagraph"/>
        <w:numPr>
          <w:ilvl w:val="0"/>
          <w:numId w:val="12"/>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151B3">
      <w:pPr>
        <w:pStyle w:val="ListParagraph"/>
        <w:numPr>
          <w:ilvl w:val="0"/>
          <w:numId w:val="12"/>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2151B3">
      <w:pPr>
        <w:pStyle w:val="Heading1"/>
        <w:numPr>
          <w:ilvl w:val="0"/>
          <w:numId w:val="4"/>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2151B3">
      <w:pPr>
        <w:pStyle w:val="Heading2"/>
        <w:numPr>
          <w:ilvl w:val="1"/>
          <w:numId w:val="4"/>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7314F9"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7314F9"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2151B3">
      <w:pPr>
        <w:pStyle w:val="Heading2"/>
        <w:numPr>
          <w:ilvl w:val="1"/>
          <w:numId w:val="4"/>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7314F9"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2151B3">
      <w:pPr>
        <w:pStyle w:val="ListParagraph"/>
        <w:numPr>
          <w:ilvl w:val="0"/>
          <w:numId w:val="8"/>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2151B3">
      <w:pPr>
        <w:pStyle w:val="ListParagraph"/>
        <w:numPr>
          <w:ilvl w:val="0"/>
          <w:numId w:val="8"/>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2151B3">
      <w:pPr>
        <w:pStyle w:val="ListParagraph"/>
        <w:numPr>
          <w:ilvl w:val="0"/>
          <w:numId w:val="8"/>
        </w:numPr>
        <w:rPr>
          <w:lang w:val="en-GB"/>
        </w:rPr>
      </w:pPr>
      <w:r w:rsidRPr="003D66E0">
        <w:rPr>
          <w:lang w:val="en-GB"/>
        </w:rPr>
        <w:t>read_acqdata()</w:t>
      </w:r>
      <w:r w:rsidRPr="003D66E0">
        <w:rPr>
          <w:lang w:val="en-GB"/>
        </w:rPr>
        <w:tab/>
        <w:t>reads acquired data from RZ6</w:t>
      </w:r>
    </w:p>
    <w:p w14:paraId="675F58B5" w14:textId="11E5E9CA" w:rsidR="003D66E0" w:rsidRDefault="003D66E0" w:rsidP="002151B3">
      <w:pPr>
        <w:pStyle w:val="ListParagraph"/>
        <w:numPr>
          <w:ilvl w:val="0"/>
          <w:numId w:val="8"/>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2151B3">
      <w:pPr>
        <w:pStyle w:val="ListParagraph"/>
        <w:numPr>
          <w:ilvl w:val="0"/>
          <w:numId w:val="8"/>
        </w:numPr>
        <w:rPr>
          <w:lang w:val="en-GB"/>
        </w:rPr>
      </w:pPr>
      <w:r>
        <w:rPr>
          <w:lang w:val="en-GB"/>
        </w:rPr>
        <w:t>read_acqsize()</w:t>
      </w:r>
      <w:r>
        <w:rPr>
          <w:lang w:val="en-GB"/>
        </w:rPr>
        <w:tab/>
        <w:t>reads the size of the acquired data from the RZ6</w:t>
      </w:r>
    </w:p>
    <w:p w14:paraId="4FDAF903" w14:textId="77777777" w:rsidR="003D66E0" w:rsidRPr="003D66E0" w:rsidRDefault="003D66E0" w:rsidP="002151B3">
      <w:pPr>
        <w:pStyle w:val="ListParagraph"/>
        <w:numPr>
          <w:ilvl w:val="0"/>
          <w:numId w:val="8"/>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2151B3">
      <w:pPr>
        <w:pStyle w:val="ListParagraph"/>
        <w:numPr>
          <w:ilvl w:val="0"/>
          <w:numId w:val="8"/>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2151B3">
      <w:pPr>
        <w:pStyle w:val="ListParagraph"/>
        <w:numPr>
          <w:ilvl w:val="0"/>
          <w:numId w:val="8"/>
        </w:numPr>
        <w:rPr>
          <w:lang w:val="en-GB"/>
        </w:rPr>
      </w:pPr>
      <w:r w:rsidRPr="003D66E0">
        <w:rPr>
          <w:lang w:val="en-GB"/>
        </w:rPr>
        <w:t>write_signalbyte()</w:t>
      </w:r>
      <w:r w:rsidRPr="003D66E0">
        <w:rPr>
          <w:lang w:val="en-GB"/>
        </w:rPr>
        <w:tab/>
        <w:t>writes signal byte to RZ6</w:t>
      </w:r>
    </w:p>
    <w:p w14:paraId="78FDB7A4" w14:textId="48D1C4E2" w:rsidR="00D21D5E" w:rsidRDefault="003D66E0" w:rsidP="002151B3">
      <w:pPr>
        <w:pStyle w:val="ListParagraph"/>
        <w:numPr>
          <w:ilvl w:val="0"/>
          <w:numId w:val="8"/>
        </w:numPr>
        <w:rPr>
          <w:lang w:val="en-GB"/>
        </w:rPr>
      </w:pPr>
      <w:r w:rsidRPr="003D66E0">
        <w:rPr>
          <w:lang w:val="en-GB"/>
        </w:rPr>
        <w:t>read_inputbyte()</w:t>
      </w:r>
      <w:r w:rsidRPr="003D66E0">
        <w:rPr>
          <w:lang w:val="en-GB"/>
        </w:rPr>
        <w:tab/>
        <w:t>reads input byte from RZ6</w:t>
      </w:r>
    </w:p>
    <w:p w14:paraId="327B0006" w14:textId="56243508" w:rsidR="00595672" w:rsidRDefault="00595672" w:rsidP="002151B3">
      <w:pPr>
        <w:pStyle w:val="ListParagraph"/>
        <w:numPr>
          <w:ilvl w:val="0"/>
          <w:numId w:val="8"/>
        </w:numPr>
        <w:rPr>
          <w:lang w:val="en-GB"/>
        </w:rPr>
      </w:pPr>
      <w:r>
        <w:rPr>
          <w:lang w:val="en-GB"/>
        </w:rPr>
        <w:t>read_inputholdbyte()</w:t>
      </w:r>
      <w:r>
        <w:rPr>
          <w:lang w:val="en-GB"/>
        </w:rPr>
        <w:tab/>
        <w:t>reads input hold byte from RZ6</w:t>
      </w:r>
    </w:p>
    <w:p w14:paraId="4613510B" w14:textId="27CF398D" w:rsidR="00595672" w:rsidRDefault="00595672" w:rsidP="002151B3">
      <w:pPr>
        <w:pStyle w:val="ListParagraph"/>
        <w:numPr>
          <w:ilvl w:val="0"/>
          <w:numId w:val="8"/>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2151B3">
      <w:pPr>
        <w:pStyle w:val="ListParagraph"/>
        <w:numPr>
          <w:ilvl w:val="0"/>
          <w:numId w:val="8"/>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2151B3">
      <w:pPr>
        <w:pStyle w:val="ListParagraph"/>
        <w:numPr>
          <w:ilvl w:val="0"/>
          <w:numId w:val="8"/>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3"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7314F9"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7314F9"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2151B3">
      <w:pPr>
        <w:pStyle w:val="Heading3"/>
        <w:numPr>
          <w:ilvl w:val="2"/>
          <w:numId w:val="4"/>
        </w:numPr>
        <w:rPr>
          <w:lang w:val="en-GB"/>
        </w:rPr>
      </w:pPr>
      <w:bookmarkStart w:id="14" w:name="_Ref40261239"/>
      <w:bookmarkStart w:id="15" w:name="_Toc48126841"/>
      <w:r>
        <w:rPr>
          <w:lang w:val="en-GB"/>
        </w:rPr>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7314F9"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7314F9"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7314F9"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6" w:name="_Toc4812684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2151B3">
      <w:pPr>
        <w:pStyle w:val="NoSpacing"/>
        <w:numPr>
          <w:ilvl w:val="0"/>
          <w:numId w:val="6"/>
        </w:numPr>
        <w:rPr>
          <w:lang w:val="en-GB"/>
        </w:rPr>
      </w:pPr>
      <w:r>
        <w:rPr>
          <w:lang w:val="en-GB"/>
        </w:rPr>
        <w:t>OUT-A is channel 3 and OUT-B is channel 4.</w:t>
      </w:r>
    </w:p>
    <w:p w14:paraId="34CD5BC0" w14:textId="77777777" w:rsidR="000B2403" w:rsidRDefault="000B2403" w:rsidP="002151B3">
      <w:pPr>
        <w:pStyle w:val="NoSpacing"/>
        <w:numPr>
          <w:ilvl w:val="0"/>
          <w:numId w:val="6"/>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227D102E" w:rsidR="000B2403" w:rsidRDefault="000B2403" w:rsidP="002151B3">
      <w:pPr>
        <w:pStyle w:val="ListParagraph"/>
        <w:numPr>
          <w:ilvl w:val="0"/>
          <w:numId w:val="6"/>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162A2AC4" w14:textId="1CC21A17" w:rsidR="00275CDA" w:rsidRDefault="00275CDA" w:rsidP="002151B3">
      <w:pPr>
        <w:pStyle w:val="ListParagraph"/>
        <w:numPr>
          <w:ilvl w:val="0"/>
          <w:numId w:val="6"/>
        </w:numPr>
        <w:rPr>
          <w:lang w:val="en-GB"/>
        </w:rPr>
      </w:pPr>
      <w:r>
        <w:rPr>
          <w:lang w:val="en-GB"/>
        </w:rPr>
        <w:t>Channel 12 is monitoring I/O Byte A</w:t>
      </w:r>
    </w:p>
    <w:p w14:paraId="71122FD9" w14:textId="55C9ED6F" w:rsidR="00275CDA" w:rsidRDefault="00275CDA" w:rsidP="00275CDA">
      <w:pPr>
        <w:pStyle w:val="ListParagraph"/>
        <w:numPr>
          <w:ilvl w:val="0"/>
          <w:numId w:val="6"/>
        </w:numPr>
        <w:rPr>
          <w:lang w:val="en-GB"/>
        </w:rPr>
      </w:pPr>
      <w:r>
        <w:rPr>
          <w:lang w:val="en-GB"/>
        </w:rPr>
        <w:t>Channel 13 is monitoring I/O Byte B</w:t>
      </w:r>
    </w:p>
    <w:p w14:paraId="627A26E5" w14:textId="53F28562" w:rsidR="00275CDA" w:rsidRDefault="00275CDA" w:rsidP="00275CDA">
      <w:pPr>
        <w:pStyle w:val="ListParagraph"/>
        <w:numPr>
          <w:ilvl w:val="0"/>
          <w:numId w:val="6"/>
        </w:numPr>
        <w:rPr>
          <w:lang w:val="en-GB"/>
        </w:rPr>
      </w:pPr>
      <w:r>
        <w:rPr>
          <w:lang w:val="en-GB"/>
        </w:rPr>
        <w:t>Channel 14 is monitoring I/O Byte C</w:t>
      </w:r>
    </w:p>
    <w:p w14:paraId="2801464B" w14:textId="77777777" w:rsidR="00275CDA" w:rsidRPr="00275CDA" w:rsidRDefault="00275CDA" w:rsidP="00275CDA">
      <w:pPr>
        <w:ind w:left="360"/>
        <w:rPr>
          <w:lang w:val="en-GB"/>
        </w:rPr>
      </w:pPr>
      <w:r w:rsidRPr="00275CDA">
        <w:rPr>
          <w:lang w:val="en-GB"/>
        </w:rPr>
        <w:t>N.B. Channels 8 to 10 are disabled in the 3C version of BIOX</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7314F9"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77777777" w:rsidR="00275CDA" w:rsidRDefault="00275CDA"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7" w:name="_Toc4812684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7314F9"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18" w:name="_Toc48126844"/>
      <w:r>
        <w:rPr>
          <w:lang w:val="en-GB"/>
        </w:rPr>
        <w:lastRenderedPageBreak/>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7314F9"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19" w:name="_Toc48126845"/>
      <w:r>
        <w:rPr>
          <w:lang w:val="en-GB"/>
        </w:rPr>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7314F9"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0" w:name="_Toc4812684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7314F9"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1" w:name="_Toc4812684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7314F9"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2" w:name="_Toc4812684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7314F9"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23" w:name="_Toc48126849"/>
      <w:r>
        <w:rPr>
          <w:lang w:val="en-GB"/>
        </w:rPr>
        <w:t>Method rz6.read_inputholdbyte()</w:t>
      </w:r>
      <w:bookmarkEnd w:id="23"/>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w:t>
      </w:r>
      <w:r w:rsidRPr="009828F3">
        <w:rPr>
          <w:lang w:val="en-GB"/>
        </w:rPr>
        <w:lastRenderedPageBreak/>
        <w:t xml:space="preserve">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7314F9"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24" w:name="_Toc4812685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7314F9"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25" w:name="_Toc48126851"/>
      <w:r>
        <w:rPr>
          <w:lang w:val="en-GB"/>
        </w:rPr>
        <w:t xml:space="preserve">Method </w:t>
      </w:r>
      <w:r w:rsidR="00A62509">
        <w:rPr>
          <w:lang w:val="en-GB"/>
        </w:rPr>
        <w:t>rz6.</w:t>
      </w:r>
      <w:r w:rsidR="004973AE">
        <w:rPr>
          <w:lang w:val="en-GB"/>
        </w:rPr>
        <w:t>trigger()</w:t>
      </w:r>
      <w:bookmarkEnd w:id="25"/>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7314F9"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2151B3">
      <w:pPr>
        <w:pStyle w:val="Heading3"/>
        <w:numPr>
          <w:ilvl w:val="2"/>
          <w:numId w:val="4"/>
        </w:numPr>
        <w:rPr>
          <w:lang w:val="en-GB"/>
        </w:rPr>
      </w:pPr>
      <w:bookmarkStart w:id="26"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7314F9"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27" w:name="_Ref30754511"/>
      <w:bookmarkStart w:id="28" w:name="_Toc4812685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7314F9"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2151B3">
      <w:pPr>
        <w:pStyle w:val="Heading3"/>
        <w:numPr>
          <w:ilvl w:val="2"/>
          <w:numId w:val="4"/>
        </w:numPr>
        <w:rPr>
          <w:lang w:val="en-GB"/>
        </w:rPr>
      </w:pPr>
      <w:bookmarkStart w:id="30" w:name="_Ref30754516"/>
      <w:bookmarkStart w:id="31" w:name="_Toc4812685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lastRenderedPageBreak/>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7314F9"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32" w:name="_Toc4812685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33" w:name="_Toc4812685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2151B3">
      <w:pPr>
        <w:pStyle w:val="Heading3"/>
        <w:numPr>
          <w:ilvl w:val="2"/>
          <w:numId w:val="4"/>
        </w:numPr>
        <w:rPr>
          <w:lang w:val="en-GB"/>
        </w:rPr>
      </w:pPr>
      <w:bookmarkStart w:id="34" w:name="_Toc4812685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35" w:name="_Ref40428573"/>
      <w:bookmarkStart w:id="36" w:name="_Toc48126858"/>
      <w:r>
        <w:rPr>
          <w:lang w:val="en-GB"/>
        </w:rPr>
        <w:t>Method rz6.read</w:t>
      </w:r>
      <w:r w:rsidR="009202AF">
        <w:rPr>
          <w:lang w:val="en-GB"/>
        </w:rPr>
        <w:t>_rcx</w:t>
      </w:r>
      <w:r>
        <w:rPr>
          <w:lang w:val="en-GB"/>
        </w:rPr>
        <w:t>_version()</w:t>
      </w:r>
      <w:bookmarkEnd w:id="35"/>
      <w:bookmarkEnd w:id="36"/>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37" w:name="_Toc48126859"/>
      <w:r>
        <w:rPr>
          <w:lang w:val="en-GB"/>
        </w:rPr>
        <w:t>Method rz6.read_biox_version()</w:t>
      </w:r>
      <w:bookmarkEnd w:id="37"/>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38" w:name="_Method_rz6.write_buttonbox_echo()"/>
      <w:bookmarkEnd w:id="38"/>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7314F9"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77777777" w:rsidR="008F120F" w:rsidRDefault="008F120F" w:rsidP="008F120F">
      <w:pPr>
        <w:rPr>
          <w:lang w:val="en-GB"/>
        </w:rPr>
      </w:pPr>
    </w:p>
    <w:p w14:paraId="0CE37B18" w14:textId="77777777" w:rsidR="008F120F" w:rsidRPr="008F120F" w:rsidRDefault="008F120F" w:rsidP="008F120F">
      <w:pPr>
        <w:rPr>
          <w:lang w:val="en-GB"/>
        </w:rPr>
      </w:pPr>
    </w:p>
    <w:p w14:paraId="78897281" w14:textId="77777777" w:rsidR="00470E96" w:rsidRDefault="00470E96" w:rsidP="002151B3">
      <w:pPr>
        <w:pStyle w:val="Heading2"/>
        <w:numPr>
          <w:ilvl w:val="1"/>
          <w:numId w:val="4"/>
        </w:numPr>
        <w:rPr>
          <w:lang w:val="en-GB"/>
        </w:rPr>
      </w:pPr>
      <w:bookmarkStart w:id="39" w:name="_Toc48126860"/>
      <w:r>
        <w:rPr>
          <w:lang w:val="en-GB"/>
        </w:rPr>
        <w:t>The task list</w:t>
      </w:r>
      <w:r w:rsidR="002A17BD">
        <w:rPr>
          <w:lang w:val="en-GB"/>
        </w:rPr>
        <w:t xml:space="preserve"> object</w:t>
      </w:r>
      <w:bookmarkEnd w:id="39"/>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7314F9"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40" w:name="_Toc48126861"/>
      <w:r>
        <w:rPr>
          <w:lang w:val="en-GB"/>
        </w:rPr>
        <w:t xml:space="preserve">Method </w:t>
      </w:r>
      <w:r w:rsidR="00A62509">
        <w:rPr>
          <w:lang w:val="en-GB"/>
        </w:rPr>
        <w:t>tl.addtask</w:t>
      </w:r>
      <w:r>
        <w:rPr>
          <w:lang w:val="en-GB"/>
        </w:rPr>
        <w:t>()</w:t>
      </w:r>
      <w:bookmarkEnd w:id="40"/>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lastRenderedPageBreak/>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7314F9"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7314F9"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7314F9"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7314F9"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7314F9"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7314F9"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7314F9"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7314F9"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7314F9"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7314F9"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7314F9"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41" w:name="_Toc48126862"/>
      <w:r>
        <w:rPr>
          <w:lang w:val="en-GB"/>
        </w:rPr>
        <w:t xml:space="preserve">Method </w:t>
      </w:r>
      <w:r w:rsidR="00B95F13">
        <w:rPr>
          <w:lang w:val="en-GB"/>
        </w:rPr>
        <w:t>tl.debug</w:t>
      </w:r>
      <w:bookmarkEnd w:id="41"/>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7314F9"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42" w:name="_Task_type_‘WaitForTrigger’"/>
      <w:bookmarkStart w:id="43" w:name="_Toc48126863"/>
      <w:bookmarkEnd w:id="42"/>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3"/>
    </w:p>
    <w:p w14:paraId="1D5DCED4" w14:textId="65A6C85D" w:rsidR="002C011D" w:rsidRDefault="002C011D" w:rsidP="00082A8A">
      <w:pPr>
        <w:shd w:val="clear" w:color="auto" w:fill="FFFFFF" w:themeFill="background1"/>
        <w:rPr>
          <w:lang w:val="en-GB"/>
        </w:rPr>
      </w:pPr>
      <w:r>
        <w:rPr>
          <w:lang w:val="en-GB"/>
        </w:rPr>
        <w:t xml:space="preserve">The task ‘waitfortrigger’ is used when the program needs to wait for an event. There are three types off events that can trigger the program to continue: 1) a Zbus trigger is </w:t>
      </w:r>
      <w:r>
        <w:rPr>
          <w:lang w:val="en-GB"/>
        </w:rPr>
        <w:lastRenderedPageBreak/>
        <w:t>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7314F9"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7314F9"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44" w:name="_Task_types_‘SoundA’"/>
      <w:bookmarkStart w:id="45" w:name="_Task_types_‘SoundA’,‘SoundB’"/>
      <w:bookmarkStart w:id="46" w:name="_Toc48126864"/>
      <w:bookmarkEnd w:id="44"/>
      <w:bookmarkEnd w:id="4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6"/>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lastRenderedPageBreak/>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7314F9"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7314F9"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7314F9"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7314F9"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7314F9"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2151B3">
      <w:pPr>
        <w:pStyle w:val="Heading4"/>
        <w:numPr>
          <w:ilvl w:val="3"/>
          <w:numId w:val="4"/>
        </w:numPr>
        <w:rPr>
          <w:lang w:val="en-GB"/>
        </w:rPr>
      </w:pPr>
      <w:bookmarkStart w:id="47" w:name="_Sound_type_‘Tone’"/>
      <w:bookmarkEnd w:id="47"/>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lastRenderedPageBreak/>
        <w:t>Example for modulated tone</w:t>
      </w:r>
    </w:p>
    <w:tbl>
      <w:tblPr>
        <w:tblStyle w:val="TableGrid"/>
        <w:tblW w:w="0" w:type="auto"/>
        <w:tblLook w:val="04A0" w:firstRow="1" w:lastRow="0" w:firstColumn="1" w:lastColumn="0" w:noHBand="0" w:noVBand="1"/>
      </w:tblPr>
      <w:tblGrid>
        <w:gridCol w:w="9016"/>
      </w:tblGrid>
      <w:tr w:rsidR="00C77C38" w:rsidRPr="007314F9"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48" w:name="_Sound_type_‘Sweep’"/>
      <w:bookmarkEnd w:id="4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7314F9"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49" w:name="_Sound_type_‘Noise’"/>
      <w:bookmarkStart w:id="50" w:name="_Ref40261310"/>
      <w:bookmarkEnd w:id="4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50"/>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7314F9"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7314F9"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51" w:name="_Sound_type_‘Ripple’"/>
      <w:bookmarkEnd w:id="51"/>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7314F9"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52" w:name="_Sound_type_"/>
      <w:bookmarkStart w:id="53" w:name="_Ref40429599"/>
      <w:bookmarkEnd w:id="52"/>
      <w:r>
        <w:rPr>
          <w:lang w:val="en-GB"/>
        </w:rPr>
        <w:t>Sound</w:t>
      </w:r>
      <w:r w:rsidR="005D6446">
        <w:rPr>
          <w:lang w:val="en-GB"/>
        </w:rPr>
        <w:t xml:space="preserve"> type </w:t>
      </w:r>
      <w:r>
        <w:rPr>
          <w:lang w:val="en-GB"/>
        </w:rPr>
        <w:t xml:space="preserve"> ‘</w:t>
      </w:r>
      <w:r w:rsidR="006D2900">
        <w:rPr>
          <w:lang w:val="en-GB"/>
        </w:rPr>
        <w:t>WAV</w:t>
      </w:r>
      <w:r>
        <w:rPr>
          <w:lang w:val="en-GB"/>
        </w:rPr>
        <w:t>’</w:t>
      </w:r>
      <w:bookmarkEnd w:id="53"/>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7314F9"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2151B3">
      <w:pPr>
        <w:pStyle w:val="Heading4"/>
        <w:numPr>
          <w:ilvl w:val="3"/>
          <w:numId w:val="4"/>
        </w:numPr>
        <w:rPr>
          <w:lang w:val="en-GB"/>
        </w:rPr>
      </w:pPr>
      <w:bookmarkStart w:id="54" w:name="_Sound_type_‘MultiTone’"/>
      <w:bookmarkEnd w:id="54"/>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7314F9"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7314F9"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7314F9"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2151B3">
      <w:pPr>
        <w:pStyle w:val="Heading4"/>
        <w:numPr>
          <w:ilvl w:val="3"/>
          <w:numId w:val="4"/>
        </w:numPr>
        <w:rPr>
          <w:lang w:val="en-GB"/>
        </w:rPr>
      </w:pPr>
      <w:bookmarkStart w:id="55" w:name="_Sound_type_‘B=A’"/>
      <w:bookmarkEnd w:id="55"/>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w:t>
      </w:r>
      <w:r>
        <w:rPr>
          <w:lang w:val="en-GB"/>
        </w:rPr>
        <w:lastRenderedPageBreak/>
        <w:t xml:space="preserve">‘linear’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7314F9"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7314F9"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7314F9"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56" w:name="_Task_type_‘MUX’"/>
      <w:bookmarkStart w:id="57" w:name="_Toc48126865"/>
      <w:bookmarkEnd w:id="56"/>
      <w:r>
        <w:rPr>
          <w:lang w:val="en-GB"/>
        </w:rPr>
        <w:t>Task</w:t>
      </w:r>
      <w:r w:rsidR="005D6446">
        <w:rPr>
          <w:lang w:val="en-GB"/>
        </w:rPr>
        <w:t xml:space="preserve"> type</w:t>
      </w:r>
      <w:r>
        <w:rPr>
          <w:lang w:val="en-GB"/>
        </w:rPr>
        <w:t xml:space="preserve"> ‘MUX’</w:t>
      </w:r>
      <w:r w:rsidR="007026D0">
        <w:rPr>
          <w:lang w:val="en-GB"/>
        </w:rPr>
        <w:t xml:space="preserve"> (multiplexer control)</w:t>
      </w:r>
      <w:bookmarkEnd w:id="57"/>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 xml:space="preserve">four PM2R multiplexers. The multiplexers each have their own device number (0...3). The patch panel PP RZ6 Digital-I/O should be used for </w:t>
      </w:r>
      <w:r>
        <w:rPr>
          <w:lang w:val="en-GB"/>
        </w:rPr>
        <w:lastRenderedPageBreak/>
        <w:t>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7314F9"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7314F9"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58" w:name="_Task_type_‘HoldInput’"/>
      <w:bookmarkStart w:id="59" w:name="_Toc48126866"/>
      <w:bookmarkEnd w:id="58"/>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9"/>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lastRenderedPageBreak/>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7314F9"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2151B3">
      <w:pPr>
        <w:pStyle w:val="Heading3"/>
        <w:numPr>
          <w:ilvl w:val="2"/>
          <w:numId w:val="4"/>
        </w:numPr>
        <w:rPr>
          <w:lang w:val="en-GB"/>
        </w:rPr>
      </w:pPr>
      <w:bookmarkStart w:id="60" w:name="_Task_type_‘SoundMov’"/>
      <w:bookmarkStart w:id="61" w:name="_Toc48126867"/>
      <w:bookmarkEnd w:id="60"/>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1"/>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7314F9"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7314F9"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lastRenderedPageBreak/>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62" w:name="_Task_type_‘Daq’"/>
      <w:bookmarkStart w:id="63" w:name="_Toc48126868"/>
      <w:bookmarkEnd w:id="62"/>
      <w:r>
        <w:rPr>
          <w:lang w:val="en-GB"/>
        </w:rPr>
        <w:t>Task</w:t>
      </w:r>
      <w:r w:rsidR="005D6446">
        <w:rPr>
          <w:lang w:val="en-GB"/>
        </w:rPr>
        <w:t xml:space="preserve"> type</w:t>
      </w:r>
      <w:r>
        <w:rPr>
          <w:lang w:val="en-GB"/>
        </w:rPr>
        <w:t xml:space="preserve"> ‘Daq’</w:t>
      </w:r>
      <w:r w:rsidR="007026D0">
        <w:rPr>
          <w:lang w:val="en-GB"/>
        </w:rPr>
        <w:t xml:space="preserve"> (data acquisition)</w:t>
      </w:r>
      <w:bookmarkEnd w:id="63"/>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Pr>
                <w:lang w:val="en-GB"/>
              </w:rPr>
              <w:t>8</w:t>
            </w:r>
            <w:r w:rsidR="00275CDA">
              <w:rPr>
                <w:lang w:val="en-GB"/>
              </w:rPr>
              <w:t>**</w:t>
            </w:r>
          </w:p>
        </w:tc>
        <w:tc>
          <w:tcPr>
            <w:tcW w:w="4961" w:type="dxa"/>
          </w:tcPr>
          <w:p w14:paraId="799C82DA" w14:textId="268E76A8" w:rsidR="00767DB1" w:rsidRDefault="00767DB1" w:rsidP="00B31938">
            <w:pPr>
              <w:rPr>
                <w:lang w:val="en-GB"/>
              </w:rPr>
            </w:pPr>
            <w:r>
              <w:rPr>
                <w:lang w:val="en-GB"/>
              </w:rPr>
              <w:t>External channel 4 (ADC)</w:t>
            </w:r>
            <w:r w:rsidR="00275CDA" w:rsidRPr="003275FD">
              <w:rPr>
                <w:shd w:val="clear" w:color="auto" w:fill="FFFFFF" w:themeFill="background1"/>
                <w:lang w:val="en-GB"/>
              </w:rPr>
              <w:t xml:space="preserve"> *</w:t>
            </w:r>
            <w:r w:rsidR="00275CDA">
              <w:rPr>
                <w:shd w:val="clear" w:color="auto" w:fill="FFFFFF" w:themeFill="background1"/>
                <w:lang w:val="en-GB"/>
              </w:rPr>
              <w:t>**</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Pr>
                <w:lang w:val="en-GB"/>
              </w:rPr>
              <w:t>9</w:t>
            </w:r>
            <w:r w:rsidR="00275CDA">
              <w:rPr>
                <w:lang w:val="en-GB"/>
              </w:rPr>
              <w:t>**</w:t>
            </w:r>
          </w:p>
        </w:tc>
        <w:tc>
          <w:tcPr>
            <w:tcW w:w="4961" w:type="dxa"/>
          </w:tcPr>
          <w:p w14:paraId="4DE62890" w14:textId="1962561E" w:rsidR="00767DB1" w:rsidRDefault="00767DB1" w:rsidP="00B31938">
            <w:pPr>
              <w:rPr>
                <w:lang w:val="en-GB"/>
              </w:rPr>
            </w:pPr>
            <w:r>
              <w:rPr>
                <w:lang w:val="en-GB"/>
              </w:rPr>
              <w:t>External channel 5 (ADC)</w:t>
            </w:r>
            <w:r w:rsidR="00275CDA" w:rsidRPr="003275FD">
              <w:rPr>
                <w:shd w:val="clear" w:color="auto" w:fill="FFFFFF" w:themeFill="background1"/>
                <w:lang w:val="en-GB"/>
              </w:rPr>
              <w:t xml:space="preserve"> *</w:t>
            </w:r>
            <w:r w:rsidR="00275CDA">
              <w:rPr>
                <w:shd w:val="clear" w:color="auto" w:fill="FFFFFF" w:themeFill="background1"/>
                <w:lang w:val="en-GB"/>
              </w:rPr>
              <w:t>**</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96EF25D" w:rsidR="00767DB1" w:rsidRDefault="00767DB1" w:rsidP="00275CDA">
            <w:pPr>
              <w:rPr>
                <w:lang w:val="en-GB"/>
              </w:rPr>
            </w:pPr>
            <w:r>
              <w:rPr>
                <w:lang w:val="en-GB"/>
              </w:rPr>
              <w:t>10</w:t>
            </w:r>
            <w:r w:rsidR="00275CDA">
              <w:rPr>
                <w:lang w:val="en-GB"/>
              </w:rPr>
              <w:t>**</w:t>
            </w:r>
          </w:p>
        </w:tc>
        <w:tc>
          <w:tcPr>
            <w:tcW w:w="4961" w:type="dxa"/>
          </w:tcPr>
          <w:p w14:paraId="61C733C6" w14:textId="3259C371" w:rsidR="00767DB1" w:rsidRDefault="00767DB1" w:rsidP="00B31938">
            <w:pPr>
              <w:rPr>
                <w:lang w:val="en-GB"/>
              </w:rPr>
            </w:pPr>
            <w:r>
              <w:rPr>
                <w:lang w:val="en-GB"/>
              </w:rPr>
              <w:t>External channel 6 (ADC)</w:t>
            </w:r>
            <w:r w:rsidR="00275CDA" w:rsidRPr="003275FD">
              <w:rPr>
                <w:shd w:val="clear" w:color="auto" w:fill="FFFFFF" w:themeFill="background1"/>
                <w:lang w:val="en-GB"/>
              </w:rPr>
              <w:t xml:space="preserve"> *</w:t>
            </w:r>
            <w:r w:rsidR="00275CDA">
              <w:rPr>
                <w:shd w:val="clear" w:color="auto" w:fill="FFFFFF" w:themeFill="background1"/>
                <w:lang w:val="en-GB"/>
              </w:rPr>
              <w:t>**</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6933B57E" w:rsidR="00767DB1" w:rsidRDefault="00767DB1" w:rsidP="00275CDA">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6C67768" w:rsidR="00767DB1" w:rsidRPr="003275FD" w:rsidRDefault="00767DB1" w:rsidP="00767DB1">
            <w:pPr>
              <w:rPr>
                <w:lang w:val="en-GB"/>
              </w:rPr>
            </w:pPr>
            <w:r w:rsidRPr="003275FD">
              <w:rPr>
                <w:lang w:val="en-GB"/>
              </w:rPr>
              <w:t>13</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54CD4F61" w:rsidR="00767DB1" w:rsidRPr="003275FD" w:rsidRDefault="00767DB1" w:rsidP="00275CDA">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6A51A993"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r w:rsidR="00275CDA">
        <w:rPr>
          <w:lang w:val="en-GB"/>
        </w:rPr>
        <w:t>, disabled in the 3C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7314F9"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7314F9"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64" w:name="_Task_type_‘SetDIO’"/>
      <w:bookmarkStart w:id="65" w:name="_Toc48126869"/>
      <w:bookmarkEnd w:id="64"/>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7314F9"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66" w:name="_Task_type_‘TrigOut’"/>
      <w:bookmarkStart w:id="67" w:name="_Toc48126870"/>
      <w:bookmarkEnd w:id="6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7314F9"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6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8"/>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7314F9"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69" w:name="_Task_type_‘Att’"/>
      <w:bookmarkStart w:id="70" w:name="_Toc48126872"/>
      <w:bookmarkEnd w:id="6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70"/>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7314F9"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71" w:name="_Task_type_‘ITD’"/>
      <w:bookmarkStart w:id="72" w:name="_Toc48126873"/>
      <w:bookmarkEnd w:id="71"/>
      <w:r>
        <w:rPr>
          <w:lang w:val="en-GB"/>
        </w:rPr>
        <w:lastRenderedPageBreak/>
        <w:t>Task type ‘ITD’</w:t>
      </w:r>
      <w:bookmarkEnd w:id="7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7314F9"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73" w:name="_Task_type_‘Mix’"/>
      <w:bookmarkStart w:id="74" w:name="_Ref43902543"/>
      <w:bookmarkStart w:id="75" w:name="_Toc48126874"/>
      <w:bookmarkEnd w:id="73"/>
      <w:r>
        <w:rPr>
          <w:lang w:val="en-GB"/>
        </w:rPr>
        <w:t>Task type ‘Mix’</w:t>
      </w:r>
      <w:r w:rsidR="007026D0">
        <w:rPr>
          <w:lang w:val="en-GB"/>
        </w:rPr>
        <w:t xml:space="preserve"> (mix sounds)</w:t>
      </w:r>
      <w:bookmarkEnd w:id="74"/>
      <w:bookmarkEnd w:id="7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7314F9"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76" w:name="_Toc48126875"/>
      <w:r>
        <w:rPr>
          <w:lang w:val="en-GB"/>
        </w:rPr>
        <w:t>Task type ‘R</w:t>
      </w:r>
      <w:r w:rsidRPr="000338F3">
        <w:rPr>
          <w:lang w:val="en-GB"/>
        </w:rPr>
        <w:t>eset</w:t>
      </w:r>
      <w:r>
        <w:rPr>
          <w:lang w:val="en-GB"/>
        </w:rPr>
        <w:t>’</w:t>
      </w:r>
      <w:r w:rsidR="007026D0">
        <w:rPr>
          <w:lang w:val="en-GB"/>
        </w:rPr>
        <w:t xml:space="preserve"> (reset task list)</w:t>
      </w:r>
      <w:bookmarkEnd w:id="7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7314F9"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77" w:name="_Toc48126876"/>
      <w:r>
        <w:rPr>
          <w:lang w:val="en-GB"/>
        </w:rPr>
        <w:t>Task type ‘R</w:t>
      </w:r>
      <w:r w:rsidRPr="000338F3">
        <w:rPr>
          <w:lang w:val="en-GB"/>
        </w:rPr>
        <w:t>eady</w:t>
      </w:r>
      <w:r>
        <w:rPr>
          <w:lang w:val="en-GB"/>
        </w:rPr>
        <w:t>’</w:t>
      </w:r>
      <w:r w:rsidR="007026D0">
        <w:rPr>
          <w:lang w:val="en-GB"/>
        </w:rPr>
        <w:t xml:space="preserve"> (set ready flag)</w:t>
      </w:r>
      <w:bookmarkEnd w:id="7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7314F9"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78" w:name="_Toc48126877"/>
      <w:r>
        <w:rPr>
          <w:lang w:val="en-GB"/>
        </w:rPr>
        <w:t>Matlab files</w:t>
      </w:r>
      <w:bookmarkEnd w:id="7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7314F9"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7314F9"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7314F9"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79" w:name="_Toc48126878"/>
      <w:r>
        <w:rPr>
          <w:lang w:val="en-GB"/>
        </w:rPr>
        <w:t>The functionality of the RCX file</w:t>
      </w:r>
      <w:bookmarkEnd w:id="79"/>
    </w:p>
    <w:p w14:paraId="22C64E37" w14:textId="332D357D" w:rsidR="00EC52C1" w:rsidRDefault="00EC52C1" w:rsidP="002151B3">
      <w:pPr>
        <w:pStyle w:val="Heading2"/>
        <w:numPr>
          <w:ilvl w:val="1"/>
          <w:numId w:val="4"/>
        </w:numPr>
        <w:rPr>
          <w:lang w:val="en-GB"/>
        </w:rPr>
      </w:pPr>
      <w:bookmarkStart w:id="80" w:name="_Toc48126879"/>
      <w:r>
        <w:rPr>
          <w:lang w:val="en-GB"/>
        </w:rPr>
        <w:t>Introduction</w:t>
      </w:r>
      <w:bookmarkEnd w:id="8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w:t>
      </w:r>
      <w:r w:rsidR="002E2890">
        <w:rPr>
          <w:lang w:val="en-GB"/>
        </w:rPr>
        <w:lastRenderedPageBreak/>
        <w:t xml:space="preserve">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2151B3">
      <w:pPr>
        <w:pStyle w:val="Heading2"/>
        <w:numPr>
          <w:ilvl w:val="1"/>
          <w:numId w:val="4"/>
        </w:numPr>
        <w:rPr>
          <w:lang w:val="en-GB"/>
        </w:rPr>
      </w:pPr>
      <w:bookmarkStart w:id="81" w:name="_Toc48126880"/>
      <w:r>
        <w:rPr>
          <w:lang w:val="en-GB"/>
        </w:rPr>
        <w:t>Tasks</w:t>
      </w:r>
      <w:bookmarkEnd w:id="8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2151B3">
      <w:pPr>
        <w:pStyle w:val="Heading2"/>
        <w:numPr>
          <w:ilvl w:val="1"/>
          <w:numId w:val="4"/>
        </w:numPr>
        <w:rPr>
          <w:lang w:val="en-GB"/>
        </w:rPr>
      </w:pPr>
      <w:bookmarkStart w:id="82" w:name="_Timing_of_tasks"/>
      <w:bookmarkStart w:id="83" w:name="_Ref22043822"/>
      <w:bookmarkStart w:id="84" w:name="_Ref22043907"/>
      <w:bookmarkStart w:id="85" w:name="_Toc48126881"/>
      <w:bookmarkEnd w:id="82"/>
      <w:r>
        <w:rPr>
          <w:lang w:val="en-GB"/>
        </w:rPr>
        <w:t>Timing of tasks</w:t>
      </w:r>
      <w:bookmarkEnd w:id="83"/>
      <w:bookmarkEnd w:id="84"/>
      <w:bookmarkEnd w:id="8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2151B3">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2151B3">
      <w:pPr>
        <w:pStyle w:val="ListParagraph"/>
        <w:numPr>
          <w:ilvl w:val="0"/>
          <w:numId w:val="3"/>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2151B3">
      <w:pPr>
        <w:pStyle w:val="ListParagraph"/>
        <w:numPr>
          <w:ilvl w:val="0"/>
          <w:numId w:val="3"/>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151B3">
      <w:pPr>
        <w:pStyle w:val="Heading3"/>
        <w:numPr>
          <w:ilvl w:val="2"/>
          <w:numId w:val="4"/>
        </w:numPr>
        <w:rPr>
          <w:lang w:val="en-GB"/>
        </w:rPr>
      </w:pPr>
      <w:bookmarkStart w:id="86" w:name="_Toc48126882"/>
      <w:r>
        <w:rPr>
          <w:lang w:val="en-GB"/>
        </w:rPr>
        <w:t>Use event recorder for timestamping the tasks</w:t>
      </w:r>
      <w:bookmarkEnd w:id="8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87" w:name="_Toc48126883"/>
      <w:r>
        <w:rPr>
          <w:lang w:val="en-GB"/>
        </w:rPr>
        <w:lastRenderedPageBreak/>
        <w:t>Use data-acquisition for checking the task timing</w:t>
      </w:r>
      <w:bookmarkEnd w:id="8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2151B3">
      <w:pPr>
        <w:pStyle w:val="Heading2"/>
        <w:numPr>
          <w:ilvl w:val="1"/>
          <w:numId w:val="4"/>
        </w:numPr>
        <w:rPr>
          <w:lang w:val="en-GB"/>
        </w:rPr>
      </w:pPr>
      <w:bookmarkStart w:id="88" w:name="_Toc48126884"/>
      <w:r>
        <w:rPr>
          <w:lang w:val="en-GB"/>
        </w:rPr>
        <w:t>DAC and ADC channels.</w:t>
      </w:r>
      <w:bookmarkEnd w:id="88"/>
    </w:p>
    <w:p w14:paraId="61D41F95" w14:textId="6875D01F" w:rsidR="00BC5691" w:rsidRDefault="00D56652" w:rsidP="002151B3">
      <w:pPr>
        <w:pStyle w:val="Heading3"/>
        <w:numPr>
          <w:ilvl w:val="2"/>
          <w:numId w:val="4"/>
        </w:numPr>
        <w:rPr>
          <w:lang w:val="en-GB"/>
        </w:rPr>
      </w:pPr>
      <w:bookmarkStart w:id="89" w:name="_Toc48126885"/>
      <w:r>
        <w:rPr>
          <w:lang w:val="en-GB"/>
        </w:rPr>
        <w:t>Introduction</w:t>
      </w:r>
      <w:bookmarkEnd w:id="8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90" w:name="_Toc48126886"/>
      <w:r>
        <w:rPr>
          <w:lang w:val="en-GB"/>
        </w:rPr>
        <w:t>DAC channels: playing sounds</w:t>
      </w:r>
      <w:bookmarkEnd w:id="9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91" w:name="_Toc48126887"/>
      <w:r>
        <w:rPr>
          <w:lang w:val="en-GB"/>
        </w:rPr>
        <w:t>ADC channels: recording</w:t>
      </w:r>
      <w:bookmarkEnd w:id="91"/>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92" w:name="_Toc48126888"/>
      <w:r>
        <w:rPr>
          <w:lang w:val="en-GB"/>
        </w:rPr>
        <w:t xml:space="preserve">Digital </w:t>
      </w:r>
      <w:r w:rsidR="00074BAC">
        <w:rPr>
          <w:lang w:val="en-GB"/>
        </w:rPr>
        <w:t>I/O</w:t>
      </w:r>
      <w:bookmarkEnd w:id="92"/>
    </w:p>
    <w:p w14:paraId="5C022C86" w14:textId="53107DAD" w:rsidR="00965422" w:rsidRDefault="00965422" w:rsidP="002151B3">
      <w:pPr>
        <w:pStyle w:val="Heading3"/>
        <w:numPr>
          <w:ilvl w:val="2"/>
          <w:numId w:val="4"/>
        </w:numPr>
        <w:rPr>
          <w:lang w:val="en-GB"/>
        </w:rPr>
      </w:pPr>
      <w:bookmarkStart w:id="93" w:name="_Toc48126889"/>
      <w:r>
        <w:rPr>
          <w:lang w:val="en-GB"/>
        </w:rPr>
        <w:t>Introduction</w:t>
      </w:r>
      <w:bookmarkEnd w:id="9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94" w:name="_Toc48126890"/>
      <w:r>
        <w:rPr>
          <w:lang w:val="en-GB"/>
        </w:rPr>
        <w:t>Byte A</w:t>
      </w:r>
      <w:r w:rsidR="00CA2F4C">
        <w:rPr>
          <w:lang w:val="en-GB"/>
        </w:rPr>
        <w:t>, input signals, triggers</w:t>
      </w:r>
      <w:bookmarkEnd w:id="9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95" w:name="_Toc48126891"/>
      <w:r>
        <w:rPr>
          <w:lang w:val="en-GB"/>
        </w:rPr>
        <w:t>Byte B</w:t>
      </w:r>
      <w:r w:rsidR="00CA2F4C">
        <w:rPr>
          <w:lang w:val="en-GB"/>
        </w:rPr>
        <w:t>, Output signals, triggers</w:t>
      </w:r>
      <w:bookmarkEnd w:id="9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96" w:name="_Toc48126892"/>
      <w:r>
        <w:rPr>
          <w:lang w:val="en-GB"/>
        </w:rPr>
        <w:lastRenderedPageBreak/>
        <w:t>Byte C, Multiplexer interface</w:t>
      </w:r>
      <w:bookmarkEnd w:id="9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97" w:name="_Toc48126893"/>
      <w:r>
        <w:rPr>
          <w:lang w:val="en-GB"/>
        </w:rPr>
        <w:t>DAC offset compensation</w:t>
      </w:r>
      <w:bookmarkEnd w:id="9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98" w:name="_Toc48126894"/>
      <w:r>
        <w:rPr>
          <w:lang w:val="en-GB"/>
        </w:rPr>
        <w:t>ITD experiments</w:t>
      </w:r>
      <w:bookmarkEnd w:id="9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99" w:name="_Toc48126895"/>
      <w:r>
        <w:rPr>
          <w:lang w:val="en-GB"/>
        </w:rPr>
        <w:t>ITD with ‘noise’ sound</w:t>
      </w:r>
      <w:bookmarkEnd w:id="9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00" w:name="_Toc48126896"/>
      <w:r>
        <w:rPr>
          <w:lang w:val="en-GB"/>
        </w:rPr>
        <w:lastRenderedPageBreak/>
        <w:t>ITD with WAV</w:t>
      </w:r>
      <w:bookmarkEnd w:id="10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1" w:name="_Appendix_A:_Debugging"/>
      <w:bookmarkStart w:id="102" w:name="_Toc48126897"/>
      <w:bookmarkEnd w:id="10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2"/>
      <w:r w:rsidR="00783BD1">
        <w:rPr>
          <w:lang w:val="en-GB"/>
        </w:rPr>
        <w:t xml:space="preserve"> </w:t>
      </w:r>
    </w:p>
    <w:p w14:paraId="7F272973" w14:textId="77777777" w:rsidR="00E73D62" w:rsidRDefault="00AD787F" w:rsidP="00E73D62">
      <w:pPr>
        <w:pStyle w:val="Heading2"/>
        <w:rPr>
          <w:lang w:val="en-GB"/>
        </w:rPr>
      </w:pPr>
      <w:bookmarkStart w:id="103" w:name="_Toc48126898"/>
      <w:r>
        <w:rPr>
          <w:lang w:val="en-GB"/>
        </w:rPr>
        <w:t>A1</w:t>
      </w:r>
      <w:r w:rsidR="00944AD3">
        <w:rPr>
          <w:lang w:val="en-GB"/>
        </w:rPr>
        <w:tab/>
      </w:r>
      <w:r w:rsidR="00E73D62">
        <w:rPr>
          <w:lang w:val="en-GB"/>
        </w:rPr>
        <w:t>Introduction</w:t>
      </w:r>
      <w:bookmarkEnd w:id="10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4" w:name="_A2__‘Waitfortrigger’"/>
      <w:bookmarkStart w:id="105" w:name="_Toc48126899"/>
      <w:bookmarkEnd w:id="10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7314F9"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7314F9"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7314F9"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7314F9"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7" w:name="_Toc48126901"/>
      <w:r>
        <w:rPr>
          <w:lang w:val="en-GB"/>
        </w:rPr>
        <w:t>A4</w:t>
      </w:r>
      <w:r w:rsidR="005A76E9">
        <w:rPr>
          <w:lang w:val="en-GB"/>
        </w:rPr>
        <w:tab/>
      </w:r>
      <w:r w:rsidR="00856891">
        <w:rPr>
          <w:lang w:val="en-GB"/>
        </w:rPr>
        <w:t>‘MUX’</w:t>
      </w:r>
      <w:bookmarkEnd w:id="10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9" w:name="_Toc48126903"/>
      <w:r>
        <w:rPr>
          <w:lang w:val="en-GB"/>
        </w:rPr>
        <w:t>A6</w:t>
      </w:r>
      <w:r w:rsidR="005A76E9">
        <w:rPr>
          <w:lang w:val="en-GB"/>
        </w:rPr>
        <w:tab/>
      </w:r>
      <w:r w:rsidR="00856891">
        <w:rPr>
          <w:lang w:val="en-GB"/>
        </w:rPr>
        <w:t>‘Daq’</w:t>
      </w:r>
      <w:bookmarkEnd w:id="10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10" w:name="_Toc48126904"/>
      <w:r>
        <w:rPr>
          <w:lang w:val="en-GB"/>
        </w:rPr>
        <w:t>A7</w:t>
      </w:r>
      <w:r w:rsidR="005A76E9">
        <w:rPr>
          <w:lang w:val="en-GB"/>
        </w:rPr>
        <w:tab/>
      </w:r>
      <w:r w:rsidR="00856891">
        <w:rPr>
          <w:lang w:val="en-GB"/>
        </w:rPr>
        <w:t>‘DIOout’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1" w:name="_Toc48126905"/>
      <w:r>
        <w:rPr>
          <w:lang w:val="en-GB"/>
        </w:rPr>
        <w:t>A8</w:t>
      </w:r>
      <w:r w:rsidR="005A76E9">
        <w:rPr>
          <w:lang w:val="en-GB"/>
        </w:rPr>
        <w:tab/>
      </w:r>
      <w:r w:rsidR="00856891">
        <w:rPr>
          <w:lang w:val="en-GB"/>
        </w:rPr>
        <w:t>‘TRGout’</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5" w:name="_A12__‘Att’"/>
      <w:bookmarkStart w:id="116" w:name="_Toc48126909"/>
      <w:bookmarkEnd w:id="11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7" w:name="_Toc48126910"/>
      <w:r>
        <w:rPr>
          <w:lang w:val="en-GB"/>
        </w:rPr>
        <w:t>A1</w:t>
      </w:r>
      <w:r w:rsidR="00AB2FCA">
        <w:rPr>
          <w:lang w:val="en-GB"/>
        </w:rPr>
        <w:t>3</w:t>
      </w:r>
      <w:r>
        <w:rPr>
          <w:lang w:val="en-GB"/>
        </w:rPr>
        <w:t xml:space="preserve"> ‘</w:t>
      </w:r>
      <w:r w:rsidR="00AB2FCA">
        <w:rPr>
          <w:lang w:val="en-GB"/>
        </w:rPr>
        <w:t>ITD</w:t>
      </w:r>
      <w:r>
        <w:rPr>
          <w:lang w:val="en-GB"/>
        </w:rPr>
        <w:t>’</w:t>
      </w:r>
      <w:bookmarkEnd w:id="11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8" w:name="_Toc48126911"/>
      <w:r>
        <w:rPr>
          <w:lang w:val="en-GB"/>
        </w:rPr>
        <w:t>A1</w:t>
      </w:r>
      <w:r w:rsidR="00AB2FCA">
        <w:rPr>
          <w:lang w:val="en-GB"/>
        </w:rPr>
        <w:t>4</w:t>
      </w:r>
      <w:r>
        <w:rPr>
          <w:lang w:val="en-GB"/>
        </w:rPr>
        <w:t xml:space="preserve"> ‘MIX’</w:t>
      </w:r>
      <w:bookmarkEnd w:id="11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9" w:name="_Toc48126912"/>
      <w:r>
        <w:rPr>
          <w:lang w:val="en-GB"/>
        </w:rPr>
        <w:t>A1</w:t>
      </w:r>
      <w:r w:rsidR="00AB2FCA">
        <w:rPr>
          <w:lang w:val="en-GB"/>
        </w:rPr>
        <w:t>5</w:t>
      </w:r>
      <w:r>
        <w:rPr>
          <w:lang w:val="en-GB"/>
        </w:rPr>
        <w:tab/>
      </w:r>
      <w:r w:rsidR="00856891">
        <w:rPr>
          <w:lang w:val="en-GB"/>
        </w:rPr>
        <w:t>‘SoundMov’</w:t>
      </w:r>
      <w:bookmarkEnd w:id="11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7314F9"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20" w:name="_Toc48126913"/>
      <w:r>
        <w:rPr>
          <w:lang w:val="en-GB"/>
        </w:rPr>
        <w:t>A1</w:t>
      </w:r>
      <w:r w:rsidR="00AB2FCA">
        <w:rPr>
          <w:lang w:val="en-GB"/>
        </w:rPr>
        <w:t>6</w:t>
      </w:r>
      <w:r w:rsidR="006178EE">
        <w:rPr>
          <w:lang w:val="en-GB"/>
        </w:rPr>
        <w:tab/>
      </w:r>
      <w:r>
        <w:rPr>
          <w:lang w:val="en-GB"/>
        </w:rPr>
        <w:t>‘Stop’</w:t>
      </w:r>
      <w:bookmarkEnd w:id="12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1" w:name="_Toc48126914"/>
      <w:r>
        <w:rPr>
          <w:lang w:val="en-GB"/>
        </w:rPr>
        <w:t>A1</w:t>
      </w:r>
      <w:r w:rsidR="00AB2FCA">
        <w:rPr>
          <w:lang w:val="en-GB"/>
        </w:rPr>
        <w:t>7</w:t>
      </w:r>
      <w:r w:rsidR="006178EE">
        <w:rPr>
          <w:lang w:val="en-GB"/>
        </w:rPr>
        <w:tab/>
      </w:r>
      <w:r>
        <w:rPr>
          <w:lang w:val="en-GB"/>
        </w:rPr>
        <w:t>‘Tone’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7314F9"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2" w:name="_Toc48126915"/>
      <w:r>
        <w:rPr>
          <w:lang w:val="en-GB"/>
        </w:rPr>
        <w:lastRenderedPageBreak/>
        <w:t>A1</w:t>
      </w:r>
      <w:r w:rsidR="00AB2FCA">
        <w:rPr>
          <w:lang w:val="en-GB"/>
        </w:rPr>
        <w:t>8</w:t>
      </w:r>
      <w:r w:rsidR="006178EE">
        <w:rPr>
          <w:lang w:val="en-GB"/>
        </w:rPr>
        <w:tab/>
      </w:r>
      <w:r>
        <w:rPr>
          <w:lang w:val="en-GB"/>
        </w:rPr>
        <w:t>‘Sweep’</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3" w:name="_Toc48126916"/>
      <w:r>
        <w:rPr>
          <w:lang w:val="en-GB"/>
        </w:rPr>
        <w:t>A1</w:t>
      </w:r>
      <w:r w:rsidR="00AB2FCA">
        <w:rPr>
          <w:lang w:val="en-GB"/>
        </w:rPr>
        <w:t>9</w:t>
      </w:r>
      <w:r w:rsidR="006178EE">
        <w:rPr>
          <w:lang w:val="en-GB"/>
        </w:rPr>
        <w:tab/>
      </w:r>
      <w:r>
        <w:rPr>
          <w:lang w:val="en-GB"/>
        </w:rPr>
        <w:t>‘Noise’</w:t>
      </w:r>
      <w:bookmarkEnd w:id="12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4" w:name="_Toc48126917"/>
      <w:r>
        <w:rPr>
          <w:lang w:val="en-GB"/>
        </w:rPr>
        <w:t>A1</w:t>
      </w:r>
      <w:r w:rsidR="00AB2FCA">
        <w:rPr>
          <w:lang w:val="en-GB"/>
        </w:rPr>
        <w:t>2</w:t>
      </w:r>
      <w:r>
        <w:rPr>
          <w:lang w:val="en-GB"/>
        </w:rPr>
        <w:tab/>
        <w:t>‘Ripple’</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6" w:name="_Toc48126919"/>
      <w:bookmarkStart w:id="12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8" w:name="_Toc48126920"/>
      <w:r>
        <w:rPr>
          <w:lang w:val="en-GB"/>
        </w:rPr>
        <w:t>A2</w:t>
      </w:r>
      <w:bookmarkEnd w:id="127"/>
      <w:r w:rsidR="00AB2FCA">
        <w:rPr>
          <w:lang w:val="en-GB"/>
        </w:rPr>
        <w:t>3</w:t>
      </w:r>
      <w:r w:rsidR="006178EE">
        <w:rPr>
          <w:lang w:val="en-GB"/>
        </w:rPr>
        <w:tab/>
      </w:r>
      <w:r>
        <w:rPr>
          <w:lang w:val="en-GB"/>
        </w:rPr>
        <w:t>‘B=A’</w:t>
      </w:r>
      <w:bookmarkEnd w:id="12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9" w:name="_Appendix_B:_Matlab"/>
      <w:bookmarkStart w:id="130" w:name="_Toc48126921"/>
      <w:bookmarkEnd w:id="129"/>
      <w:r>
        <w:rPr>
          <w:lang w:val="en-GB"/>
        </w:rPr>
        <w:t>Appendix B:</w:t>
      </w:r>
      <w:r>
        <w:rPr>
          <w:lang w:val="en-GB"/>
        </w:rPr>
        <w:tab/>
        <w:t>Matlab classes</w:t>
      </w:r>
      <w:bookmarkEnd w:id="13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1" w:name="_Toc48126922"/>
      <w:r>
        <w:rPr>
          <w:lang w:val="en-GB"/>
        </w:rPr>
        <w:t>B1</w:t>
      </w:r>
      <w:r>
        <w:rPr>
          <w:lang w:val="en-GB"/>
        </w:rPr>
        <w:tab/>
        <w:t>biox_abstract_client</w:t>
      </w:r>
      <w:bookmarkEnd w:id="13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2" w:name="_Toc48126923"/>
      <w:r>
        <w:rPr>
          <w:lang w:val="en-GB"/>
        </w:rPr>
        <w:t>B2</w:t>
      </w:r>
      <w:r>
        <w:rPr>
          <w:lang w:val="en-GB"/>
        </w:rPr>
        <w:tab/>
        <w:t>biox_rz6_client</w:t>
      </w:r>
      <w:bookmarkEnd w:id="13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34" w:name="_Toc48126925"/>
      <w:r>
        <w:rPr>
          <w:lang w:val="en-GB"/>
        </w:rPr>
        <w:t>B</w:t>
      </w:r>
      <w:r w:rsidR="002831E3">
        <w:rPr>
          <w:lang w:val="en-GB"/>
        </w:rPr>
        <w:t>4</w:t>
      </w:r>
      <w:r>
        <w:rPr>
          <w:lang w:val="en-GB"/>
        </w:rPr>
        <w:tab/>
        <w:t>biox_PAT_LAB (and others)</w:t>
      </w:r>
      <w:bookmarkEnd w:id="13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5" w:name="_Toc48126926"/>
      <w:r>
        <w:rPr>
          <w:lang w:val="en-GB"/>
        </w:rPr>
        <w:lastRenderedPageBreak/>
        <w:t xml:space="preserve">Appendix C: </w:t>
      </w:r>
      <w:r w:rsidR="001B00E3">
        <w:rPr>
          <w:lang w:val="en-GB"/>
        </w:rPr>
        <w:t>Hardware accessories</w:t>
      </w:r>
      <w:bookmarkEnd w:id="135"/>
    </w:p>
    <w:p w14:paraId="04FE29FA" w14:textId="656A41BC" w:rsidR="001B00E3" w:rsidRDefault="001B00E3" w:rsidP="001B00E3">
      <w:pPr>
        <w:pStyle w:val="Heading2"/>
        <w:rPr>
          <w:lang w:val="en-GB"/>
        </w:rPr>
      </w:pPr>
      <w:bookmarkStart w:id="136" w:name="_Ref34126995"/>
      <w:bookmarkStart w:id="137" w:name="_Toc48126927"/>
      <w:r>
        <w:rPr>
          <w:lang w:val="en-GB"/>
        </w:rPr>
        <w:t>C1 Patch panel (PP_RZ6_Digital-I/O)</w:t>
      </w:r>
      <w:bookmarkEnd w:id="136"/>
      <w:bookmarkEnd w:id="13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275CDA"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275CDA"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275CDA"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275CDA"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275CDA"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275CDA"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275CDA"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275CDA"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8" w:name="_Ref34127121"/>
      <w:bookmarkStart w:id="139" w:name="_Toc48126928"/>
      <w:r>
        <w:rPr>
          <w:lang w:val="en-GB"/>
        </w:rPr>
        <w:lastRenderedPageBreak/>
        <w:t>C2 Response box</w:t>
      </w:r>
      <w:bookmarkEnd w:id="138"/>
      <w:bookmarkEnd w:id="13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40" w:name="_Toc48126929"/>
      <w:r>
        <w:rPr>
          <w:lang w:val="en-GB"/>
        </w:rPr>
        <w:t>C3 RA8GA Adjustable Gain Preamp</w:t>
      </w:r>
      <w:bookmarkEnd w:id="14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1" w:name="_Toc48126930"/>
      <w:r>
        <w:rPr>
          <w:lang w:val="en-GB"/>
        </w:rPr>
        <w:t>C4 Response button</w:t>
      </w:r>
      <w:bookmarkEnd w:id="14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2" w:name="_Toc48126931"/>
      <w:r>
        <w:rPr>
          <w:lang w:val="en-GB"/>
        </w:rPr>
        <w:t xml:space="preserve">Appendix </w:t>
      </w:r>
      <w:r w:rsidR="00A36A4A">
        <w:rPr>
          <w:lang w:val="en-GB"/>
        </w:rPr>
        <w:t>D</w:t>
      </w:r>
      <w:r w:rsidR="00944AD3">
        <w:rPr>
          <w:lang w:val="en-GB"/>
        </w:rPr>
        <w:t>:</w:t>
      </w:r>
      <w:r>
        <w:rPr>
          <w:lang w:val="en-GB"/>
        </w:rPr>
        <w:t xml:space="preserve"> Examples</w:t>
      </w:r>
      <w:bookmarkEnd w:id="142"/>
    </w:p>
    <w:p w14:paraId="61948781" w14:textId="4C74223C" w:rsidR="00FA5596" w:rsidRDefault="00A36A4A" w:rsidP="00726D72">
      <w:pPr>
        <w:pStyle w:val="Heading2"/>
        <w:rPr>
          <w:lang w:val="en-GB"/>
        </w:rPr>
      </w:pPr>
      <w:bookmarkStart w:id="143" w:name="_Toc48126932"/>
      <w:r>
        <w:rPr>
          <w:lang w:val="en-GB"/>
        </w:rPr>
        <w:t>D</w:t>
      </w:r>
      <w:r w:rsidR="00856891">
        <w:rPr>
          <w:lang w:val="en-GB"/>
        </w:rPr>
        <w:t>1</w:t>
      </w:r>
      <w:r w:rsidR="00D22662">
        <w:rPr>
          <w:lang w:val="en-GB"/>
        </w:rPr>
        <w:tab/>
      </w:r>
      <w:r w:rsidR="00C327F5">
        <w:rPr>
          <w:lang w:val="en-GB"/>
        </w:rPr>
        <w:t>Simple Trial</w:t>
      </w:r>
      <w:bookmarkEnd w:id="14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4" w:name="_Toc48126933"/>
      <w:r>
        <w:rPr>
          <w:lang w:val="en-GB"/>
        </w:rPr>
        <w:t>D</w:t>
      </w:r>
      <w:r w:rsidR="00E82909">
        <w:rPr>
          <w:lang w:val="en-GB"/>
        </w:rPr>
        <w:t>2</w:t>
      </w:r>
      <w:r w:rsidR="00E82909">
        <w:rPr>
          <w:lang w:val="en-GB"/>
        </w:rPr>
        <w:tab/>
      </w:r>
      <w:r w:rsidR="00C327F5">
        <w:rPr>
          <w:lang w:val="en-GB"/>
        </w:rPr>
        <w:t>Moving sound and reaction time</w:t>
      </w:r>
      <w:bookmarkEnd w:id="14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275CDA"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6" w:name="_Toc48126935"/>
      <w:r>
        <w:rPr>
          <w:lang w:val="en-GB"/>
        </w:rPr>
        <w:t>D</w:t>
      </w:r>
      <w:r w:rsidR="00750639">
        <w:rPr>
          <w:lang w:val="en-GB"/>
        </w:rPr>
        <w:t xml:space="preserve">4 </w:t>
      </w:r>
      <w:r w:rsidR="00C327F5">
        <w:rPr>
          <w:lang w:val="en-GB"/>
        </w:rPr>
        <w:t>Recording of the task timing</w:t>
      </w:r>
      <w:bookmarkEnd w:id="14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7" w:name="_Appendix_E:_Notes"/>
      <w:bookmarkStart w:id="148" w:name="_Toc48126936"/>
      <w:bookmarkEnd w:id="147"/>
      <w:r>
        <w:rPr>
          <w:lang w:val="en-GB"/>
        </w:rPr>
        <w:t xml:space="preserve">Appendix E: </w:t>
      </w:r>
      <w:r w:rsidR="0053533C">
        <w:rPr>
          <w:lang w:val="en-GB"/>
        </w:rPr>
        <w:t xml:space="preserve">Notes on </w:t>
      </w:r>
      <w:r>
        <w:rPr>
          <w:lang w:val="en-GB"/>
        </w:rPr>
        <w:t>ITD or ILD measurements</w:t>
      </w:r>
      <w:bookmarkEnd w:id="148"/>
    </w:p>
    <w:p w14:paraId="7BB6A03E" w14:textId="5E130F13" w:rsidR="00750639" w:rsidRDefault="00C35EA2" w:rsidP="00C35EA2">
      <w:pPr>
        <w:pStyle w:val="Heading2"/>
        <w:rPr>
          <w:lang w:val="en-GB"/>
        </w:rPr>
      </w:pPr>
      <w:bookmarkStart w:id="149" w:name="_Toc48126937"/>
      <w:r>
        <w:rPr>
          <w:lang w:val="en-GB"/>
        </w:rPr>
        <w:t xml:space="preserve">E1 </w:t>
      </w:r>
      <w:r w:rsidR="0053533C">
        <w:rPr>
          <w:lang w:val="en-GB"/>
        </w:rPr>
        <w:t xml:space="preserve">Notes on </w:t>
      </w:r>
      <w:r>
        <w:rPr>
          <w:lang w:val="en-GB"/>
        </w:rPr>
        <w:t>ITD measurements</w:t>
      </w:r>
      <w:bookmarkEnd w:id="14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50" w:name="_Toc48126938"/>
      <w:r>
        <w:rPr>
          <w:lang w:val="en-GB"/>
        </w:rPr>
        <w:t xml:space="preserve">E2 </w:t>
      </w:r>
      <w:r w:rsidR="0053533C">
        <w:rPr>
          <w:lang w:val="en-GB"/>
        </w:rPr>
        <w:t xml:space="preserve">Notes on </w:t>
      </w:r>
      <w:r>
        <w:rPr>
          <w:lang w:val="en-GB"/>
        </w:rPr>
        <w:t>ILD measurements</w:t>
      </w:r>
      <w:bookmarkEnd w:id="15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8"/>
  </w:num>
  <w:num w:numId="4">
    <w:abstractNumId w:val="6"/>
  </w:num>
  <w:num w:numId="5">
    <w:abstractNumId w:val="28"/>
  </w:num>
  <w:num w:numId="6">
    <w:abstractNumId w:val="19"/>
  </w:num>
  <w:num w:numId="7">
    <w:abstractNumId w:val="11"/>
  </w:num>
  <w:num w:numId="8">
    <w:abstractNumId w:val="14"/>
  </w:num>
  <w:num w:numId="9">
    <w:abstractNumId w:val="23"/>
  </w:num>
  <w:num w:numId="10">
    <w:abstractNumId w:val="27"/>
  </w:num>
  <w:num w:numId="11">
    <w:abstractNumId w:val="3"/>
  </w:num>
  <w:num w:numId="12">
    <w:abstractNumId w:val="2"/>
  </w:num>
  <w:num w:numId="13">
    <w:abstractNumId w:val="22"/>
  </w:num>
  <w:num w:numId="14">
    <w:abstractNumId w:val="9"/>
  </w:num>
  <w:num w:numId="15">
    <w:abstractNumId w:val="1"/>
  </w:num>
  <w:num w:numId="16">
    <w:abstractNumId w:val="4"/>
  </w:num>
  <w:num w:numId="17">
    <w:abstractNumId w:val="26"/>
  </w:num>
  <w:num w:numId="18">
    <w:abstractNumId w:val="24"/>
  </w:num>
  <w:num w:numId="19">
    <w:abstractNumId w:val="25"/>
  </w:num>
  <w:num w:numId="20">
    <w:abstractNumId w:val="0"/>
  </w:num>
  <w:num w:numId="21">
    <w:abstractNumId w:val="13"/>
  </w:num>
  <w:num w:numId="22">
    <w:abstractNumId w:val="17"/>
  </w:num>
  <w:num w:numId="23">
    <w:abstractNumId w:val="16"/>
  </w:num>
  <w:num w:numId="24">
    <w:abstractNumId w:val="5"/>
  </w:num>
  <w:num w:numId="25">
    <w:abstractNumId w:val="12"/>
  </w:num>
  <w:num w:numId="26">
    <w:abstractNumId w:val="21"/>
  </w:num>
  <w:num w:numId="27">
    <w:abstractNumId w:val="7"/>
  </w:num>
  <w:num w:numId="28">
    <w:abstractNumId w:val="10"/>
  </w:num>
  <w:num w:numId="2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5CDA"/>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47E39"/>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14F9"/>
    <w:rsid w:val="00735985"/>
    <w:rsid w:val="00747407"/>
    <w:rsid w:val="00747EB5"/>
    <w:rsid w:val="00750639"/>
    <w:rsid w:val="00756ED0"/>
    <w:rsid w:val="00757A68"/>
    <w:rsid w:val="00762612"/>
    <w:rsid w:val="00765DBB"/>
    <w:rsid w:val="00767DB1"/>
    <w:rsid w:val="00770CF2"/>
    <w:rsid w:val="00774635"/>
    <w:rsid w:val="00782F95"/>
    <w:rsid w:val="00783BD1"/>
    <w:rsid w:val="007954E0"/>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120F"/>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02C3"/>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A5ABE"/>
    <w:rsid w:val="00DA60EE"/>
    <w:rsid w:val="00DA7797"/>
    <w:rsid w:val="00DB285D"/>
    <w:rsid w:val="00DB5F0C"/>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7E587CE5-AA26-4E4D-A7AD-D1997CB9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58BC6-903F-455C-8F3C-5702626E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50</Pages>
  <Words>15076</Words>
  <Characters>82920</Characters>
  <Application>Microsoft Office Word</Application>
  <DocSecurity>0</DocSecurity>
  <Lines>691</Lines>
  <Paragraphs>195</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5</cp:revision>
  <dcterms:created xsi:type="dcterms:W3CDTF">2020-02-26T13:44:00Z</dcterms:created>
  <dcterms:modified xsi:type="dcterms:W3CDTF">2021-01-27T10:05:00Z</dcterms:modified>
</cp:coreProperties>
</file>