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Azure Table or Cosmos DB Partition Key Design Study</w:t>
      </w:r>
    </w:p>
    <w:p>
      <w:pPr>
        <w:pStyle w:val="Heading1"/>
        <w:spacing w:after="200" w:before="300"/>
      </w:pPr>
      <w:r>
        <w:t xml:space="preserve">Abstract</w:t>
      </w:r>
    </w:p>
    <w:p>
      <w:pPr>
        <w:spacing w:after="200" w:line="360"/>
        <w:jc w:val="both"/>
      </w:pPr>
      <w:r>
        <w:t xml:space="preserve">Partition key selection is one of the most critical design decisions when building applications on Azure Table Storage or Azure Cosmos DB, directly influencing scalability, throughput distribution, latency, and cost efficiency. A poorly chosen partition key can lead to hot partitions, throttling, uneven Request Unit (RU) consumption, and degraded query performance, while a well-designed key enables horizontal scaling and predictable performance as data volume grows. This study examines the principles, trade-offs, and best practices involved in selecting effective partition keys for both Azure Table Storage and Azure Cosmos DB.</w:t>
      </w:r>
    </w:p>
    <w:p>
      <w:pPr>
        <w:spacing w:after="200" w:line="360"/>
        <w:jc w:val="both"/>
      </w:pPr>
      <w:r>
        <w:t xml:space="preserve">The work begins by analyzing the underlying data distribution models of both services, including how logical partitions map to physical partitions, and how the choice of partition key affects data locality and access patterns. Common access patterns such as point reads, range queries, and cross-partition queries are evaluated to understand their impact on performance and cost. The study also explores strategies for mitigating hot partition issues, including key salting, synthetic composite keys, hierarchical partition keys, and workload-based key selection, along with guidance on balancing partition cardinality against query efficiency.</w:t>
      </w:r>
    </w:p>
    <w:p>
      <w:pPr>
        <w:spacing w:after="200" w:line="360"/>
        <w:jc w:val="both"/>
      </w:pPr>
      <w:r>
        <w:t xml:space="preserve">Through comparative analysis of design scenarios, this study highlights practical recommendations for choosing partition keys based on application requirements such as read/write ratios, data growth patterns, and query workloads. The findings aim to serve as a reference guide for developers and architects designing scalable, cost-effective, and high-performing solutions on Azure Table Storage and Azure Cosmos DB.</w:t>
      </w:r>
    </w:p>
    <w:p>
      <w:pPr>
        <w:pStyle w:val="Heading1"/>
        <w:spacing w:after="200" w:before="300"/>
      </w:pPr>
      <w:r>
        <w:t xml:space="preserve">1. Introduction</w:t>
      </w:r>
    </w:p>
    <w:p>
      <w:pPr>
        <w:spacing w:after="200" w:line="360"/>
        <w:jc w:val="both"/>
      </w:pPr>
      <w:r>
        <w:t xml:space="preserve">Cloud-native NoSQL databases such as Azure Table Storage and Azure Cosmos DB have become foundational building blocks for modern, globally distributed applications. Unlike traditional relational databases, these services rely heavily on horizontal partitioning to achieve elastic scalability. At the heart of this partitioning scheme lies the partition key, a property that determines how data is grouped and physically distributed across underlying storage nodes.</w:t>
      </w:r>
    </w:p>
    <w:p>
      <w:pPr>
        <w:spacing w:after="200" w:line="360"/>
        <w:jc w:val="both"/>
      </w:pPr>
      <w:r>
        <w:t xml:space="preserve">The choice of partition key is not a minor implementation detail; it is a fundamental architectural decision that shapes the performance profile of an application for its entire lifetime. Because repartitioning existing data after deployment is often expensive or operationally disruptive, developers are strongly encouraged to invest time upfront in understanding their workload's access patterns before finalizing a partition key strategy.</w:t>
      </w:r>
    </w:p>
    <w:p>
      <w:pPr>
        <w:spacing w:after="200" w:line="360"/>
        <w:jc w:val="both"/>
      </w:pPr>
      <w:r>
        <w:t xml:space="preserve">This study aims to provide a structured understanding of partition key design for both Azure Table Storage and Azure Cosmos DB, comparing their underlying models, identifying common pitfalls, and presenting design patterns that help avoid performance bottlenecks such as hot partitions and throttling.</w:t>
      </w:r>
    </w:p>
    <w:p>
      <w:pPr>
        <w:pStyle w:val="Heading1"/>
        <w:spacing w:after="200" w:before="300"/>
      </w:pPr>
      <w:r>
        <w:t xml:space="preserve">2. Background and Motivation</w:t>
      </w:r>
    </w:p>
    <w:p>
      <w:pPr>
        <w:spacing w:after="200" w:line="360"/>
        <w:jc w:val="both"/>
      </w:pPr>
      <w:r>
        <w:t xml:space="preserve">Azure Table Storage is a key-value NoSQL store designed for large volumes of structured, non-relational data at low cost. Each entity is uniquely identified by a combination of PartitionKey and RowKey. Entities sharing the same PartitionKey are stored together and can be queried efficiently as a unit, making PartitionKey selection central to both performance and cost.</w:t>
      </w:r>
    </w:p>
    <w:p>
      <w:pPr>
        <w:spacing w:after="200" w:line="360"/>
        <w:jc w:val="both"/>
      </w:pPr>
      <w:r>
        <w:t xml:space="preserve">Azure Cosmos DB, in contrast, is a globally distributed, multi-model database service that offers several APIs (SQL/Core, MongoDB, Cassandra, Gremlin, Table). It uses a more flexible partitioning model where the partition key can be any property path within a document, and since 2022 supports hierarchical partition keys composed of up to three levels, allowing finer-grained distribution for multi-tenant and hierarchical data models.</w:t>
      </w:r>
    </w:p>
    <w:p>
      <w:pPr>
        <w:spacing w:after="200" w:line="360"/>
        <w:jc w:val="both"/>
      </w:pPr>
      <w:r>
        <w:t xml:space="preserve">The motivation for this study stems from recurring real-world issues observed in production systems: uneven RU consumption, 429 (Too Many Requests) throttling errors, and degraded query latency, most of which trace back to a partition key that does not align with the application's actual read and write patterns.</w:t>
      </w:r>
    </w:p>
    <w:p>
      <w:pPr>
        <w:pStyle w:val="Heading1"/>
        <w:spacing w:after="200" w:before="300"/>
      </w:pPr>
      <w:r>
        <w:t xml:space="preserve">3. Partitioning Fundamentals</w:t>
      </w:r>
    </w:p>
    <w:p>
      <w:pPr>
        <w:pStyle w:val="Heading2"/>
        <w:spacing w:after="150" w:before="200"/>
      </w:pPr>
      <w:r>
        <w:t xml:space="preserve">3.1 Logical vs Physical Partitions</w:t>
      </w:r>
    </w:p>
    <w:p>
      <w:pPr>
        <w:spacing w:after="200" w:line="360"/>
        <w:jc w:val="both"/>
      </w:pPr>
      <w:r>
        <w:t xml:space="preserve">In both services, data is first organized into logical partitions based on the partition key value. The underlying platform then maps one or more logical partitions onto physical partitions (server-side storage and compute units), and can split or move physical partitions transparently as data volume and throughput demands grow. However, all entities within a single logical partition always reside on the same physical partition, which is why an overloaded or oversized logical partition cannot be automatically split by the platform.</w:t>
      </w:r>
    </w:p>
    <w:p>
      <w:pPr>
        <w:pStyle w:val="Heading2"/>
        <w:spacing w:after="150" w:before="200"/>
      </w:pPr>
      <w:r>
        <w:t xml:space="preserve">3.2 Hot Partitions</w:t>
      </w:r>
    </w:p>
    <w:p>
      <w:pPr>
        <w:spacing w:after="200" w:line="360"/>
        <w:jc w:val="both"/>
      </w:pPr>
      <w:r>
        <w:t xml:space="preserve">A hot partition occurs when a disproportionate share of read or write traffic is directed at a single logical partition value, for example when using a coarse key like a fixed date or a single tenant ID for a high-traffic tenant. This concentrates load on one physical partition, causing throttling and latency spikes even while the overall service has spare capacity elsewhere.</w:t>
      </w:r>
    </w:p>
    <w:p>
      <w:pPr>
        <w:pStyle w:val="Heading2"/>
        <w:spacing w:after="150" w:before="200"/>
      </w:pPr>
      <w:r>
        <w:t xml:space="preserve">3.3 Partition Cardinality and Query Efficiency</w:t>
      </w:r>
    </w:p>
    <w:p>
      <w:pPr>
        <w:spacing w:after="200" w:line="360"/>
        <w:jc w:val="both"/>
      </w:pPr>
      <w:r>
        <w:t xml:space="preserve">There is an inherent trade-off between partition cardinality (the number of distinct partition key values) and query efficiency. Very high cardinality spreads load evenly but can make range queries and aggregations across partitions more expensive, since they must fan out across many physical partitions. Very low cardinality concentrates load and risks hot partitions, but keeps related data together for efficient point and range reads. Effective partition key design finds a balance appropriate to the workload.</w:t>
      </w:r>
    </w:p>
    <w:p>
      <w:pPr>
        <w:pStyle w:val="Heading1"/>
        <w:spacing w:after="200" w:before="300"/>
      </w:pPr>
      <w:r>
        <w:t xml:space="preserve">4. Comparative Analysis: Azure Table Storage vs Azure Cosmos DB</w:t>
      </w:r>
    </w:p>
    <w:p>
      <w:pPr>
        <w:spacing w:after="200" w:line="360"/>
        <w:jc w:val="both"/>
      </w:pPr>
      <w:r>
        <w:t xml:space="preserve">The table below summarizes key differences between the two services that are directly relevant to partition key design decisions.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shd w:fill="D9E2F3" w:val="clear"/>
          </w:tcPr>
          <w:p>
            <w:r>
              <w:rPr>
                <w:b/>
                <w:bCs/>
              </w:rPr>
              <w:t xml:space="preserve">Aspect</w:t>
            </w:r>
          </w:p>
        </w:tc>
        <w:tc>
          <w:tcPr>
            <w:tcW w:type="dxa" w:w="3500"/>
            <w:shd w:fill="D9E2F3" w:val="clear"/>
          </w:tcPr>
          <w:p>
            <w:r>
              <w:rPr>
                <w:b/>
                <w:bCs/>
              </w:rPr>
              <w:t xml:space="preserve">Azure Table Storage</w:t>
            </w:r>
          </w:p>
        </w:tc>
        <w:tc>
          <w:tcPr>
            <w:tcW w:type="dxa" w:w="3500"/>
            <w:shd w:fill="D9E2F3" w:val="clear"/>
          </w:tcPr>
          <w:p>
            <w:r>
              <w:rPr>
                <w:b/>
                <w:bCs/>
              </w:rPr>
              <w:t xml:space="preserve">Azure Cosmos DB</w:t>
            </w:r>
          </w:p>
        </w:tc>
      </w:tr>
      <w:tr>
        <w:tc>
          <w:tcPr>
            <w:tcW w:type="dxa" w:w="2500"/>
          </w:tcPr>
          <w:p>
            <w:r>
              <w:rPr>
                <w:b w:val="false"/>
                <w:bCs w:val="false"/>
              </w:rPr>
              <w:t xml:space="preserve">Partition Key</w:t>
            </w:r>
          </w:p>
        </w:tc>
        <w:tc>
          <w:tcPr>
            <w:tcW w:type="dxa" w:w="3500"/>
          </w:tcPr>
          <w:p>
            <w:r>
              <w:rPr>
                <w:b w:val="false"/>
                <w:bCs w:val="false"/>
              </w:rPr>
              <w:t xml:space="preserve">Single PartitionKey property, string-based</w:t>
            </w:r>
          </w:p>
        </w:tc>
        <w:tc>
          <w:tcPr>
            <w:tcW w:type="dxa" w:w="3500"/>
          </w:tcPr>
          <w:p>
            <w:r>
              <w:rPr>
                <w:b w:val="false"/>
                <w:bCs w:val="false"/>
              </w:rPr>
              <w:t xml:space="preserve">User-defined path (e.g. /partitionKey), supports hierarchical keys</w:t>
            </w:r>
          </w:p>
        </w:tc>
      </w:tr>
      <w:tr>
        <w:tc>
          <w:tcPr>
            <w:tcW w:type="dxa" w:w="2500"/>
          </w:tcPr>
          <w:p>
            <w:r>
              <w:rPr>
                <w:b w:val="false"/>
                <w:bCs w:val="false"/>
              </w:rPr>
              <w:t xml:space="preserve">Throughput Model</w:t>
            </w:r>
          </w:p>
        </w:tc>
        <w:tc>
          <w:tcPr>
            <w:tcW w:type="dxa" w:w="3500"/>
          </w:tcPr>
          <w:p>
            <w:r>
              <w:rPr>
                <w:b w:val="false"/>
                <w:bCs w:val="false"/>
              </w:rPr>
              <w:t xml:space="preserve">Fixed scale targets per partition, no RU model</w:t>
            </w:r>
          </w:p>
        </w:tc>
        <w:tc>
          <w:tcPr>
            <w:tcW w:type="dxa" w:w="3500"/>
          </w:tcPr>
          <w:p>
            <w:r>
              <w:rPr>
                <w:b w:val="false"/>
                <w:bCs w:val="false"/>
              </w:rPr>
              <w:t xml:space="preserve">Request Units (RU/s), provisioned or serverless</w:t>
            </w:r>
          </w:p>
        </w:tc>
      </w:tr>
      <w:tr>
        <w:tc>
          <w:tcPr>
            <w:tcW w:type="dxa" w:w="2500"/>
          </w:tcPr>
          <w:p>
            <w:r>
              <w:rPr>
                <w:b w:val="false"/>
                <w:bCs w:val="false"/>
              </w:rPr>
              <w:t xml:space="preserve">Max Logical Partition Size</w:t>
            </w:r>
          </w:p>
        </w:tc>
        <w:tc>
          <w:tcPr>
            <w:tcW w:type="dxa" w:w="3500"/>
          </w:tcPr>
          <w:p>
            <w:r>
              <w:rPr>
                <w:b w:val="false"/>
                <w:bCs w:val="false"/>
              </w:rPr>
              <w:t xml:space="preserve">~20 GB per partition (soft target)</w:t>
            </w:r>
          </w:p>
        </w:tc>
        <w:tc>
          <w:tcPr>
            <w:tcW w:type="dxa" w:w="3500"/>
          </w:tcPr>
          <w:p>
            <w:r>
              <w:rPr>
                <w:b w:val="false"/>
                <w:bCs w:val="false"/>
              </w:rPr>
              <w:t xml:space="preserve">20 GB per logical partition</w:t>
            </w:r>
          </w:p>
        </w:tc>
      </w:tr>
      <w:tr>
        <w:tc>
          <w:tcPr>
            <w:tcW w:type="dxa" w:w="2500"/>
          </w:tcPr>
          <w:p>
            <w:r>
              <w:rPr>
                <w:b w:val="false"/>
                <w:bCs w:val="false"/>
              </w:rPr>
              <w:t xml:space="preserve">Cross-Partition Queries</w:t>
            </w:r>
          </w:p>
        </w:tc>
        <w:tc>
          <w:tcPr>
            <w:tcW w:type="dxa" w:w="3500"/>
          </w:tcPr>
          <w:p>
            <w:r>
              <w:rPr>
                <w:b w:val="false"/>
                <w:bCs w:val="false"/>
              </w:rPr>
              <w:t xml:space="preserve">Supported but slower, higher latency</w:t>
            </w:r>
          </w:p>
        </w:tc>
        <w:tc>
          <w:tcPr>
            <w:tcW w:type="dxa" w:w="3500"/>
          </w:tcPr>
          <w:p>
            <w:r>
              <w:rPr>
                <w:b w:val="false"/>
                <w:bCs w:val="false"/>
              </w:rPr>
              <w:t xml:space="preserve">Supported, consumes more RU, fan-out cost</w:t>
            </w:r>
          </w:p>
        </w:tc>
      </w:tr>
      <w:tr>
        <w:tc>
          <w:tcPr>
            <w:tcW w:type="dxa" w:w="2500"/>
          </w:tcPr>
          <w:p>
            <w:r>
              <w:rPr>
                <w:b w:val="false"/>
                <w:bCs w:val="false"/>
              </w:rPr>
              <w:t xml:space="preserve">Hierarchical Partition Keys</w:t>
            </w:r>
          </w:p>
        </w:tc>
        <w:tc>
          <w:tcPr>
            <w:tcW w:type="dxa" w:w="3500"/>
          </w:tcPr>
          <w:p>
            <w:r>
              <w:rPr>
                <w:b w:val="false"/>
                <w:bCs w:val="false"/>
              </w:rPr>
              <w:t xml:space="preserve">Not supported</w:t>
            </w:r>
          </w:p>
        </w:tc>
        <w:tc>
          <w:tcPr>
            <w:tcW w:type="dxa" w:w="3500"/>
          </w:tcPr>
          <w:p>
            <w:r>
              <w:rPr>
                <w:b w:val="false"/>
                <w:bCs w:val="false"/>
              </w:rPr>
              <w:t xml:space="preserve">Supported (up to 3 levels)</w:t>
            </w:r>
          </w:p>
        </w:tc>
      </w:tr>
      <w:tr>
        <w:tc>
          <w:tcPr>
            <w:tcW w:type="dxa" w:w="2500"/>
          </w:tcPr>
          <w:p>
            <w:r>
              <w:rPr>
                <w:b w:val="false"/>
                <w:bCs w:val="false"/>
              </w:rPr>
              <w:t xml:space="preserve">Indexing</w:t>
            </w:r>
          </w:p>
        </w:tc>
        <w:tc>
          <w:tcPr>
            <w:tcW w:type="dxa" w:w="3500"/>
          </w:tcPr>
          <w:p>
            <w:r>
              <w:rPr>
                <w:b w:val="false"/>
                <w:bCs w:val="false"/>
              </w:rPr>
              <w:t xml:space="preserve">PartitionKey + RowKey composite index only</w:t>
            </w:r>
          </w:p>
        </w:tc>
        <w:tc>
          <w:tcPr>
            <w:tcW w:type="dxa" w:w="3500"/>
          </w:tcPr>
          <w:p>
            <w:r>
              <w:rPr>
                <w:b w:val="false"/>
                <w:bCs w:val="false"/>
              </w:rPr>
              <w:t xml:space="preserve">Automatic indexing of all properties by default</w:t>
            </w:r>
          </w:p>
        </w:tc>
      </w:tr>
      <w:tr>
        <w:tc>
          <w:tcPr>
            <w:tcW w:type="dxa" w:w="2500"/>
          </w:tcPr>
          <w:p>
            <w:r>
              <w:rPr>
                <w:b w:val="false"/>
                <w:bCs w:val="false"/>
              </w:rPr>
              <w:t xml:space="preserve">Best Fit</w:t>
            </w:r>
          </w:p>
        </w:tc>
        <w:tc>
          <w:tcPr>
            <w:tcW w:type="dxa" w:w="3500"/>
          </w:tcPr>
          <w:p>
            <w:r>
              <w:rPr>
                <w:b w:val="false"/>
                <w:bCs w:val="false"/>
              </w:rPr>
              <w:t xml:space="preserve">Simple key-value workloads, low cost, NoSQL tables</w:t>
            </w:r>
          </w:p>
        </w:tc>
        <w:tc>
          <w:tcPr>
            <w:tcW w:type="dxa" w:w="3500"/>
          </w:tcPr>
          <w:p>
            <w:r>
              <w:rPr>
                <w:b w:val="false"/>
                <w:bCs w:val="false"/>
              </w:rPr>
              <w:t xml:space="preserve">Global-scale, multi-model, low-latency applications</w:t>
            </w:r>
          </w:p>
        </w:tc>
      </w:tr>
    </w:tbl>
    <w:p>
      <w:pPr>
        <w:spacing w:after="200"/>
      </w:pPr>
    </w:p>
    <w:p>
      <w:pPr>
        <w:pStyle w:val="Heading1"/>
        <w:spacing w:after="200" w:before="300"/>
      </w:pPr>
      <w:r>
        <w:t xml:space="preserve">5. Partition Key Design Strategies</w:t>
      </w:r>
    </w:p>
    <w:p>
      <w:pPr>
        <w:pStyle w:val="Heading2"/>
        <w:spacing w:after="150" w:before="200"/>
      </w:pPr>
      <w:r>
        <w:t xml:space="preserve">5.1 Key Salting</w:t>
      </w:r>
    </w:p>
    <w:p>
      <w:pPr>
        <w:spacing w:after="200" w:line="360"/>
        <w:jc w:val="both"/>
      </w:pPr>
      <w:r>
        <w:t xml:space="preserve">Key salting involves appending or prepending a calculated value (such as a hash or a random suffix) to a naturally low-cardinality key, spreading writes across multiple logical partitions. This is commonly used when the natural key, such as a date, would otherwise concentrate all of a day's writes into a single partition.</w:t>
      </w:r>
    </w:p>
    <w:p>
      <w:pPr>
        <w:pStyle w:val="Heading2"/>
        <w:spacing w:after="150" w:before="200"/>
      </w:pPr>
      <w:r>
        <w:t xml:space="preserve">5.2 Synthetic Composite Keys</w:t>
      </w:r>
    </w:p>
    <w:p>
      <w:pPr>
        <w:spacing w:after="200" w:line="360"/>
        <w:jc w:val="both"/>
      </w:pPr>
      <w:r>
        <w:t xml:space="preserve">Synthetic keys combine two or more properties into a single partition key string, for example combining a tenant identifier with a region or a device type. This allows queries that filter on the combined dimensions to remain efficient single-partition reads, while still distributing data broadly across the keyspace.</w:t>
      </w:r>
    </w:p>
    <w:p>
      <w:pPr>
        <w:pStyle w:val="Heading2"/>
        <w:spacing w:after="150" w:before="200"/>
      </w:pPr>
      <w:r>
        <w:t xml:space="preserve">5.3 Hierarchical Partition Keys (Cosmos DB)</w:t>
      </w:r>
    </w:p>
    <w:p>
      <w:pPr>
        <w:spacing w:after="200" w:line="360"/>
        <w:jc w:val="both"/>
      </w:pPr>
      <w:r>
        <w:t xml:space="preserve">Hierarchical partition keys allow a logical partition to be defined by up to three ordered properties, such as /tenantId, /userId, and /sessionId. This is particularly useful for multi-tenant SaaS applications, since it avoids the need to synthesize a single composite string key while still enabling efficient sub-partition queries and even distribution at scale.</w:t>
      </w:r>
    </w:p>
    <w:p>
      <w:pPr>
        <w:pStyle w:val="Heading2"/>
        <w:spacing w:after="150" w:before="200"/>
      </w:pPr>
      <w:r>
        <w:t xml:space="preserve">5.4 Workload-Based Key Selection</w:t>
      </w:r>
    </w:p>
    <w:p>
      <w:pPr>
        <w:spacing w:after="200" w:line="360"/>
        <w:jc w:val="both"/>
      </w:pPr>
      <w:r>
        <w:t xml:space="preserve">Rather than choosing a partition key based solely on the data model, workload-based selection starts from the dominant access patterns of the application, such as the most frequent queries, the read-to-write ratio, and expected growth. The partition key is then chosen to make the most frequent and performance-sensitive operations as efficient as possible, even if it requires denormalization or duplication of data across multiple containers or tables.</w:t>
      </w:r>
    </w:p>
    <w:p>
      <w:pPr>
        <w:pStyle w:val="Heading1"/>
        <w:spacing w:after="200" w:before="300"/>
      </w:pPr>
      <w:r>
        <w:t xml:space="preserve">6. Design Recommendations</w:t>
      </w:r>
    </w:p>
    <w:p>
      <w:pPr>
        <w:pStyle w:val="ListParagraph"/>
        <w:numPr>
          <w:ilvl w:val="0"/>
          <w:numId w:val="1"/>
        </w:numPr>
        <w:spacing w:after="100"/>
      </w:pPr>
      <w:r>
        <w:t xml:space="preserve">Model the partition key around the application's most frequent and latency-sensitive query patterns, not just the natural entity identifier.</w:t>
      </w:r>
    </w:p>
    <w:p>
      <w:pPr>
        <w:pStyle w:val="ListParagraph"/>
        <w:numPr>
          <w:ilvl w:val="0"/>
          <w:numId w:val="1"/>
        </w:numPr>
        <w:spacing w:after="100"/>
      </w:pPr>
      <w:r>
        <w:t xml:space="preserve">Avoid low-cardinality keys such as fixed constants, single dates, or a small enumerated status field as the sole partition key.</w:t>
      </w:r>
    </w:p>
    <w:p>
      <w:pPr>
        <w:pStyle w:val="ListParagraph"/>
        <w:numPr>
          <w:ilvl w:val="0"/>
          <w:numId w:val="1"/>
        </w:numPr>
        <w:spacing w:after="100"/>
      </w:pPr>
      <w:r>
        <w:t xml:space="preserve">Use synthetic or hierarchical keys to combine dimensions when a single natural property does not provide adequate distribution.</w:t>
      </w:r>
    </w:p>
    <w:p>
      <w:pPr>
        <w:pStyle w:val="ListParagraph"/>
        <w:numPr>
          <w:ilvl w:val="0"/>
          <w:numId w:val="1"/>
        </w:numPr>
        <w:spacing w:after="100"/>
      </w:pPr>
      <w:r>
        <w:t xml:space="preserve">Monitor RU consumption and partition-level metrics in Cosmos DB, and storage/request metrics in Table Storage, to detect emerging hot partitions early.</w:t>
      </w:r>
    </w:p>
    <w:p>
      <w:pPr>
        <w:pStyle w:val="ListParagraph"/>
        <w:numPr>
          <w:ilvl w:val="0"/>
          <w:numId w:val="1"/>
        </w:numPr>
        <w:spacing w:after="100"/>
      </w:pPr>
      <w:r>
        <w:t xml:space="preserve">Plan for data growth: estimate the maximum size and throughput any single logical partition could reach over the application's expected lifetime.</w:t>
      </w:r>
    </w:p>
    <w:p>
      <w:pPr>
        <w:pStyle w:val="ListParagraph"/>
        <w:numPr>
          <w:ilvl w:val="0"/>
          <w:numId w:val="1"/>
        </w:numPr>
        <w:spacing w:after="100"/>
      </w:pPr>
      <w:r>
        <w:t xml:space="preserve">Favor point reads and single-partition queries over cross-partition fan-out queries wherever the workload allows.</w:t>
      </w:r>
    </w:p>
    <w:p>
      <w:pPr>
        <w:pStyle w:val="ListParagraph"/>
        <w:numPr>
          <w:ilvl w:val="0"/>
          <w:numId w:val="1"/>
        </w:numPr>
        <w:spacing w:after="100"/>
      </w:pPr>
      <w:r>
        <w:t xml:space="preserve">Revisit partition key design during major feature additions, since new access patterns can invalidate assumptions made at initial design time.</w:t>
      </w:r>
    </w:p>
    <w:p>
      <w:pPr>
        <w:pStyle w:val="Heading1"/>
        <w:spacing w:after="200" w:before="300"/>
      </w:pPr>
      <w:r>
        <w:t xml:space="preserve">7. Conclusion</w:t>
      </w:r>
    </w:p>
    <w:p>
      <w:pPr>
        <w:spacing w:after="200" w:line="360"/>
        <w:jc w:val="both"/>
      </w:pPr>
      <w:r>
        <w:t xml:space="preserve">Partition key design is a foundational decision that determines the long-term scalability, cost, and performance characteristics of applications built on Azure Table Storage and Azure Cosmos DB. This study has shown that there is no universally correct partition key; the right choice depends on the specific read/write patterns, data volume, and growth trajectory of each application. By understanding the underlying partitioning models of both services and applying strategies such as key salting, synthetic composite keys, hierarchical partitioning, and workload-based selection, developers and architects can design systems that scale smoothly and avoid the common pitfalls of hot partitions and throttling.</w:t>
      </w:r>
    </w:p>
    <w:p>
      <w:pPr>
        <w:spacing w:after="200" w:line="360"/>
        <w:jc w:val="both"/>
      </w:pPr>
      <w:r>
        <w:t xml:space="preserve">Future work could extend this study with empirical benchmarking of specific partition key strategies under varying load profiles, providing quantitative guidance to complement the qualitative design principles discussed here.</w:t>
      </w:r>
    </w:p>
    <w:p>
      <w:pPr>
        <w:pStyle w:val="Heading1"/>
        <w:spacing w:after="200" w:before="300"/>
      </w:pPr>
      <w:r>
        <w:t xml:space="preserve">References</w:t>
      </w:r>
    </w:p>
    <w:p>
      <w:pPr>
        <w:spacing w:after="200" w:line="360"/>
        <w:jc w:val="both"/>
      </w:pPr>
      <w:r>
        <w:t xml:space="preserve">Microsoft Learn. Azure Cosmos DB partitioning and horizontal scaling documentation.</w:t>
      </w:r>
    </w:p>
    <w:p>
      <w:pPr>
        <w:spacing w:after="200" w:line="360"/>
        <w:jc w:val="both"/>
      </w:pPr>
      <w:r>
        <w:t xml:space="preserve">Microsoft Learn. Azure Table Storage design guide and scalability targets documentation.</w:t>
      </w:r>
    </w:p>
    <w:p>
      <w:pPr>
        <w:spacing w:after="200" w:line="360"/>
        <w:jc w:val="both"/>
      </w:pPr>
      <w:r>
        <w:t xml:space="preserve">Microsoft Learn. Azure Cosmos DB hierarchical partition keys documentation.</w:t>
      </w:r>
    </w:p>
    <w:p>
      <w:pPr>
        <w:pStyle w:val="Heading1"/>
        <w:spacing w:after="200" w:before="300"/>
      </w:pPr>
      <w:r>
        <w:t xml:space="preserve">Team Members</w:t>
      </w:r>
    </w:p>
    <w:p>
      <w:pPr>
        <w:spacing w:after="120"/>
      </w:pPr>
      <w:r>
        <w:rPr>
          <w:b/>
          <w:bCs/>
        </w:rPr>
        <w:t xml:space="preserve">2400031193  —  </w:t>
      </w:r>
      <w:r>
        <w:t xml:space="preserve">Dakshina Jayanth Kumar</w:t>
      </w:r>
    </w:p>
    <w:p>
      <w:pPr>
        <w:spacing w:after="120"/>
      </w:pPr>
      <w:r>
        <w:rPr>
          <w:b/>
          <w:bCs/>
        </w:rPr>
        <w:t xml:space="preserve">2400031185  —  </w:t>
      </w:r>
      <w:r>
        <w:t xml:space="preserve">Chitturi N V M P S Surya Kumar</w:t>
      </w:r>
    </w:p>
    <w:p>
      <w:pPr>
        <w:spacing w:after="120"/>
      </w:pPr>
      <w:r>
        <w:rPr>
          <w:b/>
          <w:bCs/>
        </w:rPr>
        <w:t xml:space="preserve">2400031173  —  </w:t>
      </w:r>
      <w:r>
        <w:t xml:space="preserve">Tekkuluri Teveesh Sai</w:t>
      </w:r>
    </w:p>
    <w:p>
      <w:pPr>
        <w:spacing w:after="120"/>
      </w:pPr>
      <w:r>
        <w:rPr>
          <w:b/>
          <w:bCs/>
        </w:rPr>
        <w:t xml:space="preserve">2400031140  —  </w:t>
      </w:r>
      <w:r>
        <w:t xml:space="preserve">Kunda Surya Teja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2026-08-26T02:09:29.386Z</dcterms:created>
  <dcterms:modified xsi:type="dcterms:W3CDTF">2026-08-26T02:09:29.398Z</dcterms:modified>
</cp:coreProperties>
</file>

<file path=docProps/custom.xml><?xml version="1.0" encoding="utf-8"?>
<Properties xmlns="http://schemas.openxmlformats.org/officeDocument/2006/custom-properties" xmlns:vt="http://schemas.openxmlformats.org/officeDocument/2006/docPropsVTypes"/>
</file>